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CD62D" w14:textId="77777777" w:rsidR="00406C10" w:rsidRPr="00AD3462" w:rsidRDefault="00406C10" w:rsidP="004B0563">
      <w:pPr>
        <w:ind w:firstLine="0"/>
        <w:jc w:val="center"/>
        <w:rPr>
          <w:b/>
          <w:sz w:val="32"/>
          <w:szCs w:val="32"/>
        </w:rPr>
      </w:pPr>
      <w:r w:rsidRPr="00AD3462">
        <w:rPr>
          <w:b/>
          <w:sz w:val="32"/>
          <w:szCs w:val="32"/>
        </w:rPr>
        <w:t>WYKAZ</w:t>
      </w:r>
    </w:p>
    <w:p w14:paraId="29444150" w14:textId="77777777" w:rsidR="00AD3462" w:rsidRPr="00AD3462" w:rsidRDefault="00AD3462" w:rsidP="004B0563">
      <w:pPr>
        <w:ind w:firstLine="0"/>
        <w:jc w:val="center"/>
        <w:rPr>
          <w:b/>
          <w:sz w:val="32"/>
          <w:szCs w:val="32"/>
        </w:rPr>
      </w:pPr>
    </w:p>
    <w:p w14:paraId="30816313" w14:textId="3C58730F" w:rsidR="00406C10" w:rsidRPr="00AD3462" w:rsidRDefault="00406C10" w:rsidP="00516AC7">
      <w:pPr>
        <w:spacing w:line="360" w:lineRule="auto"/>
        <w:ind w:firstLine="0"/>
        <w:rPr>
          <w:b/>
          <w:sz w:val="22"/>
        </w:rPr>
      </w:pPr>
      <w:r w:rsidRPr="00AD3462">
        <w:rPr>
          <w:b/>
          <w:sz w:val="22"/>
        </w:rPr>
        <w:t>NIERUCHOMOŚCI STANOWIĄCYCH WŁASNOŚĆ POWIATU MIELECKIEGO PRZEZNACZONYCH DO ZBYCIA NA PODSTAWIE</w:t>
      </w:r>
      <w:r w:rsidR="00AD3462" w:rsidRPr="00AD3462">
        <w:rPr>
          <w:b/>
          <w:sz w:val="22"/>
        </w:rPr>
        <w:t xml:space="preserve"> ART. 35 UST 1 I ART. 4 PKT 9</w:t>
      </w:r>
      <w:r w:rsidRPr="00AD3462">
        <w:rPr>
          <w:b/>
          <w:sz w:val="22"/>
        </w:rPr>
        <w:t xml:space="preserve"> USTAWY Z DNIA 21 SIERPNIA 1997 ROKU O GOSPODARCE NIER</w:t>
      </w:r>
      <w:r w:rsidR="00516AC7" w:rsidRPr="00AD3462">
        <w:rPr>
          <w:b/>
          <w:sz w:val="22"/>
        </w:rPr>
        <w:t>UCHOMOŚCIAM</w:t>
      </w:r>
      <w:r w:rsidR="002E554F" w:rsidRPr="00AD3462">
        <w:rPr>
          <w:b/>
          <w:sz w:val="22"/>
        </w:rPr>
        <w:t>I /j.t. Dz. U. z 2023, poz. 344</w:t>
      </w:r>
      <w:r w:rsidRPr="00AD3462">
        <w:rPr>
          <w:b/>
          <w:sz w:val="22"/>
        </w:rPr>
        <w:t>/</w:t>
      </w:r>
      <w:r w:rsidR="002E554F" w:rsidRPr="00AD3462">
        <w:rPr>
          <w:b/>
          <w:sz w:val="22"/>
        </w:rPr>
        <w:t xml:space="preserve"> ORAZ UCHWAŁ</w:t>
      </w:r>
      <w:r w:rsidR="00F30F21" w:rsidRPr="00AD3462">
        <w:rPr>
          <w:b/>
          <w:sz w:val="22"/>
        </w:rPr>
        <w:t>Y</w:t>
      </w:r>
      <w:r w:rsidR="002E554F" w:rsidRPr="00AD3462">
        <w:rPr>
          <w:b/>
          <w:sz w:val="22"/>
        </w:rPr>
        <w:t xml:space="preserve"> </w:t>
      </w:r>
      <w:r w:rsidR="00D926E4" w:rsidRPr="00AD3462">
        <w:rPr>
          <w:b/>
          <w:sz w:val="22"/>
        </w:rPr>
        <w:t>RADY</w:t>
      </w:r>
      <w:r w:rsidR="009E7CFA" w:rsidRPr="00AD3462">
        <w:rPr>
          <w:b/>
          <w:sz w:val="22"/>
        </w:rPr>
        <w:t xml:space="preserve"> POWIATU MIELECKIEGO </w:t>
      </w:r>
      <w:r w:rsidR="00D926E4" w:rsidRPr="00AD3462">
        <w:rPr>
          <w:b/>
          <w:sz w:val="22"/>
        </w:rPr>
        <w:t>NR LXV/536</w:t>
      </w:r>
      <w:r w:rsidR="009E7CFA" w:rsidRPr="00AD3462">
        <w:rPr>
          <w:b/>
          <w:sz w:val="22"/>
        </w:rPr>
        <w:t>/202</w:t>
      </w:r>
      <w:r w:rsidR="00D926E4" w:rsidRPr="00AD3462">
        <w:rPr>
          <w:b/>
          <w:sz w:val="22"/>
        </w:rPr>
        <w:t>4</w:t>
      </w:r>
      <w:r w:rsidR="00516AC7" w:rsidRPr="00AD3462">
        <w:rPr>
          <w:b/>
          <w:sz w:val="22"/>
        </w:rPr>
        <w:t xml:space="preserve"> Z</w:t>
      </w:r>
      <w:r w:rsidR="009E7CFA" w:rsidRPr="00AD3462">
        <w:rPr>
          <w:b/>
          <w:sz w:val="22"/>
        </w:rPr>
        <w:t xml:space="preserve"> DNIA 2</w:t>
      </w:r>
      <w:r w:rsidR="00D926E4" w:rsidRPr="00AD3462">
        <w:rPr>
          <w:b/>
          <w:sz w:val="22"/>
        </w:rPr>
        <w:t>6</w:t>
      </w:r>
      <w:r w:rsidR="009E7CFA" w:rsidRPr="00AD3462">
        <w:rPr>
          <w:b/>
          <w:sz w:val="22"/>
        </w:rPr>
        <w:t>.</w:t>
      </w:r>
      <w:r w:rsidR="00D926E4" w:rsidRPr="00AD3462">
        <w:rPr>
          <w:b/>
          <w:sz w:val="22"/>
        </w:rPr>
        <w:t>02</w:t>
      </w:r>
      <w:r w:rsidR="00F30F21" w:rsidRPr="00AD3462">
        <w:rPr>
          <w:b/>
          <w:sz w:val="22"/>
        </w:rPr>
        <w:t>.202</w:t>
      </w:r>
      <w:r w:rsidR="00D926E4" w:rsidRPr="00AD3462">
        <w:rPr>
          <w:b/>
          <w:sz w:val="22"/>
        </w:rPr>
        <w:t>4</w:t>
      </w:r>
      <w:r w:rsidR="00F30F21" w:rsidRPr="00AD3462">
        <w:rPr>
          <w:b/>
          <w:sz w:val="22"/>
        </w:rPr>
        <w:t xml:space="preserve"> ROKU.</w:t>
      </w:r>
    </w:p>
    <w:p w14:paraId="6EC2AADD" w14:textId="77777777" w:rsidR="00406C10" w:rsidRDefault="00406C10" w:rsidP="00406C10">
      <w:pPr>
        <w:ind w:firstLine="0"/>
      </w:pPr>
    </w:p>
    <w:tbl>
      <w:tblPr>
        <w:tblStyle w:val="Tabela-Siatka"/>
        <w:tblW w:w="1531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851"/>
        <w:gridCol w:w="1134"/>
        <w:gridCol w:w="1843"/>
        <w:gridCol w:w="4819"/>
        <w:gridCol w:w="2126"/>
        <w:gridCol w:w="1710"/>
      </w:tblGrid>
      <w:tr w:rsidR="002E554F" w:rsidRPr="00AE4C69" w14:paraId="10CC4088" w14:textId="77777777" w:rsidTr="004B0563">
        <w:trPr>
          <w:trHeight w:val="979"/>
          <w:jc w:val="center"/>
        </w:trPr>
        <w:tc>
          <w:tcPr>
            <w:tcW w:w="562" w:type="dxa"/>
          </w:tcPr>
          <w:p w14:paraId="3D21CDC2" w14:textId="77777777" w:rsidR="002E554F" w:rsidRPr="009E7CFA" w:rsidRDefault="002E554F" w:rsidP="00516AC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9E7CFA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</w:tcPr>
          <w:p w14:paraId="54DF4D7D" w14:textId="77777777" w:rsidR="002E554F" w:rsidRPr="009E7CFA" w:rsidRDefault="002E554F" w:rsidP="00516AC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9E7CFA">
              <w:rPr>
                <w:b/>
                <w:sz w:val="20"/>
                <w:szCs w:val="20"/>
              </w:rPr>
              <w:t>Położenie nieruchomości</w:t>
            </w:r>
          </w:p>
        </w:tc>
        <w:tc>
          <w:tcPr>
            <w:tcW w:w="851" w:type="dxa"/>
          </w:tcPr>
          <w:p w14:paraId="15AC8F3A" w14:textId="77777777" w:rsidR="002E554F" w:rsidRPr="009E7CFA" w:rsidRDefault="002E554F" w:rsidP="00516AC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9E7CFA">
              <w:rPr>
                <w:b/>
                <w:sz w:val="20"/>
                <w:szCs w:val="20"/>
              </w:rPr>
              <w:t>Numer działki</w:t>
            </w:r>
          </w:p>
        </w:tc>
        <w:tc>
          <w:tcPr>
            <w:tcW w:w="1134" w:type="dxa"/>
          </w:tcPr>
          <w:p w14:paraId="17FF5D3E" w14:textId="77777777" w:rsidR="002E554F" w:rsidRPr="009E7CFA" w:rsidRDefault="002E554F" w:rsidP="00516AC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9E7CFA">
              <w:rPr>
                <w:b/>
                <w:sz w:val="20"/>
                <w:szCs w:val="20"/>
              </w:rPr>
              <w:t>Pow. działki</w:t>
            </w:r>
          </w:p>
        </w:tc>
        <w:tc>
          <w:tcPr>
            <w:tcW w:w="1843" w:type="dxa"/>
          </w:tcPr>
          <w:p w14:paraId="3AA8DDB4" w14:textId="77777777" w:rsidR="002E554F" w:rsidRPr="009E7CFA" w:rsidRDefault="002E554F" w:rsidP="00516AC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9E7CFA">
              <w:rPr>
                <w:b/>
                <w:sz w:val="20"/>
                <w:szCs w:val="20"/>
              </w:rPr>
              <w:t>Numer KW</w:t>
            </w:r>
          </w:p>
        </w:tc>
        <w:tc>
          <w:tcPr>
            <w:tcW w:w="4819" w:type="dxa"/>
          </w:tcPr>
          <w:p w14:paraId="7B4E157C" w14:textId="77777777" w:rsidR="002E554F" w:rsidRPr="009E7CFA" w:rsidRDefault="002E554F" w:rsidP="00516AC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9E7CFA">
              <w:rPr>
                <w:b/>
                <w:sz w:val="20"/>
                <w:szCs w:val="20"/>
              </w:rPr>
              <w:t>Opis</w:t>
            </w:r>
            <w:r w:rsidR="00874B5B" w:rsidRPr="009E7CFA">
              <w:rPr>
                <w:b/>
                <w:sz w:val="20"/>
                <w:szCs w:val="20"/>
              </w:rPr>
              <w:t xml:space="preserve"> i sposób zagospodarowania</w:t>
            </w:r>
            <w:r w:rsidRPr="009E7CFA">
              <w:rPr>
                <w:b/>
                <w:sz w:val="20"/>
                <w:szCs w:val="20"/>
              </w:rPr>
              <w:t xml:space="preserve"> nieruchomości</w:t>
            </w:r>
          </w:p>
        </w:tc>
        <w:tc>
          <w:tcPr>
            <w:tcW w:w="2126" w:type="dxa"/>
          </w:tcPr>
          <w:p w14:paraId="7D9B20BE" w14:textId="49F71C12" w:rsidR="005C606B" w:rsidRPr="009E7CFA" w:rsidRDefault="00AD2CBC" w:rsidP="005C606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9E7CFA">
              <w:rPr>
                <w:b/>
                <w:sz w:val="20"/>
                <w:szCs w:val="20"/>
              </w:rPr>
              <w:t>Wartość nieruchomości</w:t>
            </w:r>
          </w:p>
          <w:p w14:paraId="43440C0A" w14:textId="1EA422D8" w:rsidR="004B0563" w:rsidRPr="009E7CFA" w:rsidRDefault="004B0563" w:rsidP="00874B5B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248EAE95" w14:textId="77777777" w:rsidR="002E554F" w:rsidRPr="009E7CFA" w:rsidRDefault="002E554F" w:rsidP="002E554F">
            <w:pPr>
              <w:ind w:firstLine="0"/>
              <w:rPr>
                <w:b/>
                <w:sz w:val="20"/>
                <w:szCs w:val="20"/>
              </w:rPr>
            </w:pPr>
            <w:r w:rsidRPr="009E7CFA">
              <w:rPr>
                <w:b/>
                <w:sz w:val="20"/>
                <w:szCs w:val="20"/>
              </w:rPr>
              <w:t xml:space="preserve">   Forma zbycia</w:t>
            </w:r>
          </w:p>
        </w:tc>
      </w:tr>
      <w:tr w:rsidR="002E554F" w:rsidRPr="00AE4C69" w14:paraId="24DC1C0A" w14:textId="77777777" w:rsidTr="004B0563">
        <w:trPr>
          <w:trHeight w:val="1270"/>
          <w:jc w:val="center"/>
        </w:trPr>
        <w:tc>
          <w:tcPr>
            <w:tcW w:w="562" w:type="dxa"/>
          </w:tcPr>
          <w:p w14:paraId="06D44FF1" w14:textId="77777777" w:rsidR="00874B5B" w:rsidRDefault="00874B5B" w:rsidP="00406C10">
            <w:pPr>
              <w:ind w:firstLine="0"/>
              <w:rPr>
                <w:sz w:val="20"/>
                <w:szCs w:val="20"/>
              </w:rPr>
            </w:pPr>
          </w:p>
          <w:p w14:paraId="1A0B7C50" w14:textId="77777777" w:rsidR="002E554F" w:rsidRPr="00AE4C69" w:rsidRDefault="002E554F" w:rsidP="00406C10">
            <w:pPr>
              <w:ind w:firstLine="0"/>
              <w:rPr>
                <w:sz w:val="20"/>
                <w:szCs w:val="20"/>
              </w:rPr>
            </w:pPr>
            <w:r w:rsidRPr="00AE4C69">
              <w:rPr>
                <w:sz w:val="20"/>
                <w:szCs w:val="20"/>
              </w:rPr>
              <w:t>1</w:t>
            </w:r>
            <w:r w:rsidR="00870AFF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14:paraId="45ACBF89" w14:textId="77777777" w:rsidR="00FD6990" w:rsidRDefault="00FD6990" w:rsidP="00516AC7">
            <w:pPr>
              <w:ind w:firstLine="0"/>
              <w:jc w:val="left"/>
              <w:rPr>
                <w:sz w:val="20"/>
                <w:szCs w:val="20"/>
              </w:rPr>
            </w:pPr>
          </w:p>
          <w:p w14:paraId="0F3CC6A3" w14:textId="1371B86D" w:rsidR="002E554F" w:rsidRDefault="00F30F21" w:rsidP="00CE7D9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obręb </w:t>
            </w:r>
            <w:r w:rsidR="005C606B">
              <w:rPr>
                <w:sz w:val="20"/>
                <w:szCs w:val="20"/>
              </w:rPr>
              <w:t>Radomyśl Wielki,</w:t>
            </w:r>
            <w:r w:rsidR="00CE7D93">
              <w:rPr>
                <w:sz w:val="20"/>
                <w:szCs w:val="20"/>
              </w:rPr>
              <w:t xml:space="preserve"> </w:t>
            </w:r>
          </w:p>
          <w:p w14:paraId="299D02DB" w14:textId="76954BE0" w:rsidR="00CE7D93" w:rsidRPr="00AE4C69" w:rsidRDefault="00CE7D93" w:rsidP="00CE7D9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gm.</w:t>
            </w:r>
            <w:r w:rsidR="005C606B">
              <w:rPr>
                <w:sz w:val="20"/>
                <w:szCs w:val="20"/>
              </w:rPr>
              <w:t xml:space="preserve"> Radomyśl Wielki</w:t>
            </w:r>
          </w:p>
        </w:tc>
        <w:tc>
          <w:tcPr>
            <w:tcW w:w="851" w:type="dxa"/>
          </w:tcPr>
          <w:p w14:paraId="07834269" w14:textId="77777777" w:rsidR="002E554F" w:rsidRPr="00AE4C69" w:rsidRDefault="002E554F" w:rsidP="00FD6990">
            <w:pPr>
              <w:ind w:firstLine="0"/>
              <w:jc w:val="center"/>
              <w:rPr>
                <w:sz w:val="20"/>
                <w:szCs w:val="20"/>
              </w:rPr>
            </w:pPr>
          </w:p>
          <w:p w14:paraId="5197681F" w14:textId="24F7EE77" w:rsidR="002E554F" w:rsidRPr="00AE4C69" w:rsidRDefault="005C606B" w:rsidP="00FD699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1386/3</w:t>
            </w:r>
          </w:p>
        </w:tc>
        <w:tc>
          <w:tcPr>
            <w:tcW w:w="1134" w:type="dxa"/>
          </w:tcPr>
          <w:p w14:paraId="38824D05" w14:textId="77777777" w:rsidR="002E554F" w:rsidRPr="00AE4C69" w:rsidRDefault="002E554F" w:rsidP="00516AC7">
            <w:pPr>
              <w:ind w:firstLine="0"/>
              <w:jc w:val="left"/>
              <w:rPr>
                <w:sz w:val="20"/>
                <w:szCs w:val="20"/>
              </w:rPr>
            </w:pPr>
          </w:p>
          <w:p w14:paraId="79D197E6" w14:textId="49C92855" w:rsidR="002E554F" w:rsidRPr="00AE4C69" w:rsidRDefault="009E7CFA" w:rsidP="00516AC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5C606B">
              <w:rPr>
                <w:sz w:val="20"/>
                <w:szCs w:val="20"/>
              </w:rPr>
              <w:t>2065</w:t>
            </w:r>
            <w:r w:rsidR="002E554F" w:rsidRPr="00AE4C69">
              <w:rPr>
                <w:sz w:val="20"/>
                <w:szCs w:val="20"/>
              </w:rPr>
              <w:t xml:space="preserve"> ha</w:t>
            </w:r>
          </w:p>
        </w:tc>
        <w:tc>
          <w:tcPr>
            <w:tcW w:w="1843" w:type="dxa"/>
          </w:tcPr>
          <w:p w14:paraId="78BD3FA6" w14:textId="77777777" w:rsidR="002E554F" w:rsidRPr="00AE4C69" w:rsidRDefault="002E554F" w:rsidP="00516AC7">
            <w:pPr>
              <w:ind w:firstLine="0"/>
              <w:jc w:val="left"/>
              <w:rPr>
                <w:sz w:val="20"/>
                <w:szCs w:val="20"/>
              </w:rPr>
            </w:pPr>
          </w:p>
          <w:p w14:paraId="0F3FAF21" w14:textId="5A18CF24" w:rsidR="002E554F" w:rsidRPr="00AE4C69" w:rsidRDefault="009E7CFA" w:rsidP="00516AC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TB1M/</w:t>
            </w:r>
            <w:r w:rsidR="005C606B">
              <w:rPr>
                <w:sz w:val="20"/>
                <w:szCs w:val="20"/>
              </w:rPr>
              <w:t>00099362/0</w:t>
            </w:r>
          </w:p>
        </w:tc>
        <w:tc>
          <w:tcPr>
            <w:tcW w:w="4819" w:type="dxa"/>
          </w:tcPr>
          <w:p w14:paraId="192E4727" w14:textId="3159BA10" w:rsidR="002E554F" w:rsidRPr="00AE4C69" w:rsidRDefault="002E554F" w:rsidP="004B0563">
            <w:pPr>
              <w:ind w:firstLine="0"/>
              <w:rPr>
                <w:sz w:val="20"/>
                <w:szCs w:val="20"/>
              </w:rPr>
            </w:pPr>
            <w:r w:rsidRPr="00AE4C69">
              <w:rPr>
                <w:sz w:val="20"/>
                <w:szCs w:val="20"/>
              </w:rPr>
              <w:t xml:space="preserve">Nieruchomość </w:t>
            </w:r>
            <w:r w:rsidR="00F30F21">
              <w:rPr>
                <w:sz w:val="20"/>
                <w:szCs w:val="20"/>
              </w:rPr>
              <w:t xml:space="preserve">zlokalizowana </w:t>
            </w:r>
            <w:r w:rsidR="004B0563">
              <w:rPr>
                <w:sz w:val="20"/>
                <w:szCs w:val="20"/>
              </w:rPr>
              <w:t xml:space="preserve">w </w:t>
            </w:r>
            <w:r w:rsidR="008775D5">
              <w:rPr>
                <w:sz w:val="20"/>
                <w:szCs w:val="20"/>
              </w:rPr>
              <w:t>Radomyślu Wielkim</w:t>
            </w:r>
            <w:r w:rsidR="004B0563">
              <w:rPr>
                <w:sz w:val="20"/>
                <w:szCs w:val="20"/>
              </w:rPr>
              <w:t xml:space="preserve"> </w:t>
            </w:r>
            <w:r w:rsidR="008775D5">
              <w:rPr>
                <w:sz w:val="20"/>
                <w:szCs w:val="20"/>
              </w:rPr>
              <w:t xml:space="preserve"> na rogu ulic Kochanowskiego i Wałowej</w:t>
            </w:r>
            <w:r w:rsidR="004B0563">
              <w:rPr>
                <w:sz w:val="20"/>
                <w:szCs w:val="20"/>
              </w:rPr>
              <w:t>,</w:t>
            </w:r>
            <w:r w:rsidR="008775D5">
              <w:rPr>
                <w:sz w:val="20"/>
                <w:szCs w:val="20"/>
              </w:rPr>
              <w:t xml:space="preserve"> ok. 750m od centrum Radomyśla Wielkiego,</w:t>
            </w:r>
            <w:r w:rsidR="004B0563">
              <w:rPr>
                <w:sz w:val="20"/>
                <w:szCs w:val="20"/>
              </w:rPr>
              <w:t xml:space="preserve"> oznaczona w ewidencji gruntów i budynków użytkiem „</w:t>
            </w:r>
            <w:r w:rsidR="008775D5">
              <w:rPr>
                <w:sz w:val="20"/>
                <w:szCs w:val="20"/>
              </w:rPr>
              <w:t>Bz</w:t>
            </w:r>
            <w:r w:rsidR="004B0563">
              <w:rPr>
                <w:sz w:val="20"/>
                <w:szCs w:val="20"/>
              </w:rPr>
              <w:t>”.</w:t>
            </w:r>
            <w:r w:rsidR="00AD2CBC">
              <w:rPr>
                <w:sz w:val="20"/>
                <w:szCs w:val="20"/>
              </w:rPr>
              <w:t xml:space="preserve"> </w:t>
            </w:r>
            <w:r w:rsidRPr="00AE4C69">
              <w:rPr>
                <w:sz w:val="20"/>
                <w:szCs w:val="20"/>
              </w:rPr>
              <w:t>Urząd Miejski</w:t>
            </w:r>
            <w:r w:rsidR="00D926E4">
              <w:rPr>
                <w:sz w:val="20"/>
                <w:szCs w:val="20"/>
              </w:rPr>
              <w:t xml:space="preserve">                 </w:t>
            </w:r>
            <w:r w:rsidRPr="00AE4C69">
              <w:rPr>
                <w:sz w:val="20"/>
                <w:szCs w:val="20"/>
              </w:rPr>
              <w:t xml:space="preserve"> w </w:t>
            </w:r>
            <w:r w:rsidR="008775D5">
              <w:rPr>
                <w:sz w:val="20"/>
                <w:szCs w:val="20"/>
              </w:rPr>
              <w:t>Radomyślu Wielkim</w:t>
            </w:r>
            <w:r w:rsidRPr="00AE4C69">
              <w:rPr>
                <w:sz w:val="20"/>
                <w:szCs w:val="20"/>
              </w:rPr>
              <w:t xml:space="preserve"> dla terenu, na którym położona jest nieruchomość</w:t>
            </w:r>
            <w:r w:rsidR="008775D5">
              <w:rPr>
                <w:sz w:val="20"/>
                <w:szCs w:val="20"/>
              </w:rPr>
              <w:t xml:space="preserve"> </w:t>
            </w:r>
            <w:r w:rsidRPr="00AE4C69">
              <w:rPr>
                <w:sz w:val="20"/>
                <w:szCs w:val="20"/>
              </w:rPr>
              <w:t>nie posiada aktualnego planu zagospodarowania</w:t>
            </w:r>
            <w:r w:rsidR="009E7CFA">
              <w:rPr>
                <w:sz w:val="20"/>
                <w:szCs w:val="20"/>
              </w:rPr>
              <w:t xml:space="preserve"> p</w:t>
            </w:r>
            <w:r w:rsidRPr="00AE4C69">
              <w:rPr>
                <w:sz w:val="20"/>
                <w:szCs w:val="20"/>
              </w:rPr>
              <w:t>rzestrzennego</w:t>
            </w:r>
            <w:r w:rsidR="008775D5">
              <w:rPr>
                <w:sz w:val="20"/>
                <w:szCs w:val="20"/>
              </w:rPr>
              <w:t>.</w:t>
            </w:r>
            <w:r w:rsidR="004B0563">
              <w:rPr>
                <w:sz w:val="20"/>
                <w:szCs w:val="20"/>
              </w:rPr>
              <w:t xml:space="preserve"> </w:t>
            </w:r>
            <w:r w:rsidR="00C55492" w:rsidRPr="00AE4C69">
              <w:rPr>
                <w:sz w:val="20"/>
                <w:szCs w:val="20"/>
              </w:rPr>
              <w:t>Nieruchomość nie jest objęta uproszczonym planem urządzenia lasu oraz nie zostały dla niej wydane decyzje Starosty Powiatu Mieleckiego określające zadania z zakresu gospodarki leśnej na podstawie inwentaryzacji stanu lasu.</w:t>
            </w:r>
          </w:p>
        </w:tc>
        <w:tc>
          <w:tcPr>
            <w:tcW w:w="2126" w:type="dxa"/>
          </w:tcPr>
          <w:p w14:paraId="1F6C658F" w14:textId="77777777" w:rsidR="002E554F" w:rsidRPr="00AE4C69" w:rsidRDefault="002E554F" w:rsidP="00516AC7">
            <w:pPr>
              <w:ind w:firstLine="0"/>
              <w:jc w:val="center"/>
              <w:rPr>
                <w:sz w:val="20"/>
                <w:szCs w:val="20"/>
              </w:rPr>
            </w:pPr>
          </w:p>
          <w:p w14:paraId="1C80CFE1" w14:textId="1E6D9375" w:rsidR="002E554F" w:rsidRPr="00AE4C69" w:rsidRDefault="009E7CFA" w:rsidP="00516AC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926E4">
              <w:rPr>
                <w:sz w:val="20"/>
                <w:szCs w:val="20"/>
              </w:rPr>
              <w:t>210</w:t>
            </w:r>
            <w:r>
              <w:rPr>
                <w:sz w:val="20"/>
                <w:szCs w:val="20"/>
              </w:rPr>
              <w:t> </w:t>
            </w:r>
            <w:r w:rsidR="00D926E4">
              <w:rPr>
                <w:sz w:val="20"/>
                <w:szCs w:val="20"/>
              </w:rPr>
              <w:t>629</w:t>
            </w:r>
            <w:r>
              <w:rPr>
                <w:sz w:val="20"/>
                <w:szCs w:val="20"/>
              </w:rPr>
              <w:t xml:space="preserve">,00 </w:t>
            </w:r>
            <w:r w:rsidR="00C55492" w:rsidRPr="00AE4C69">
              <w:rPr>
                <w:sz w:val="20"/>
                <w:szCs w:val="20"/>
              </w:rPr>
              <w:t xml:space="preserve"> zł</w:t>
            </w:r>
            <w:r w:rsidR="004B0563">
              <w:rPr>
                <w:sz w:val="20"/>
                <w:szCs w:val="20"/>
              </w:rPr>
              <w:t xml:space="preserve"> </w:t>
            </w:r>
          </w:p>
          <w:p w14:paraId="14B3B5AB" w14:textId="77777777" w:rsidR="002E554F" w:rsidRDefault="002E554F" w:rsidP="00516AC7">
            <w:pPr>
              <w:ind w:firstLine="0"/>
              <w:jc w:val="center"/>
              <w:rPr>
                <w:sz w:val="20"/>
                <w:szCs w:val="20"/>
              </w:rPr>
            </w:pPr>
            <w:r w:rsidRPr="00AE4C69">
              <w:rPr>
                <w:sz w:val="20"/>
                <w:szCs w:val="20"/>
              </w:rPr>
              <w:t>(wartość oszacowana przez rzeczoznawcę majątkowego)</w:t>
            </w:r>
          </w:p>
          <w:p w14:paraId="14ED5A25" w14:textId="27FCBA1A" w:rsidR="004B0563" w:rsidRPr="00AE4C69" w:rsidRDefault="004B0563" w:rsidP="00516AC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70A7ED18" w14:textId="77777777" w:rsidR="00C55492" w:rsidRPr="00AE4C69" w:rsidRDefault="00C55492" w:rsidP="00516AC7">
            <w:pPr>
              <w:ind w:firstLine="0"/>
              <w:jc w:val="center"/>
              <w:rPr>
                <w:sz w:val="20"/>
                <w:szCs w:val="20"/>
              </w:rPr>
            </w:pPr>
          </w:p>
          <w:p w14:paraId="753F9FA3" w14:textId="721D7151" w:rsidR="002E554F" w:rsidRPr="00AE4C69" w:rsidRDefault="005C606B" w:rsidP="00516AC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darowizna</w:t>
            </w:r>
            <w:r w:rsidR="004B0563">
              <w:rPr>
                <w:sz w:val="20"/>
                <w:szCs w:val="20"/>
              </w:rPr>
              <w:t xml:space="preserve"> </w:t>
            </w:r>
          </w:p>
        </w:tc>
      </w:tr>
    </w:tbl>
    <w:p w14:paraId="2B2C6DCC" w14:textId="77777777" w:rsidR="009232F9" w:rsidRPr="00516AC7" w:rsidRDefault="009232F9" w:rsidP="00406C10">
      <w:pPr>
        <w:ind w:firstLine="0"/>
        <w:rPr>
          <w:sz w:val="22"/>
        </w:rPr>
      </w:pPr>
    </w:p>
    <w:p w14:paraId="627CED7E" w14:textId="77777777" w:rsidR="004B0563" w:rsidRPr="004B0563" w:rsidRDefault="009232F9" w:rsidP="004B0563">
      <w:pPr>
        <w:pStyle w:val="Akapitzlist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FD6990">
        <w:rPr>
          <w:sz w:val="20"/>
          <w:szCs w:val="20"/>
        </w:rPr>
        <w:t>Wykaz został wywieszony na tablicy ogłoszeń  oraz umieszczony na stronie internetowej Starostwa Powiatowego w Mielcu tj.</w:t>
      </w:r>
      <w:r w:rsidRPr="009232F9">
        <w:t xml:space="preserve"> </w:t>
      </w:r>
      <w:r w:rsidRPr="00FD6990">
        <w:rPr>
          <w:rStyle w:val="Hipercze"/>
          <w:sz w:val="20"/>
          <w:szCs w:val="20"/>
        </w:rPr>
        <w:t>www.bip.powiat-mielecki.pl/</w:t>
      </w:r>
      <w:r w:rsidRPr="00FD6990">
        <w:rPr>
          <w:sz w:val="20"/>
          <w:szCs w:val="20"/>
        </w:rPr>
        <w:t xml:space="preserve"> na okres 21 dni.</w:t>
      </w:r>
      <w:r w:rsidR="004B0563">
        <w:rPr>
          <w:sz w:val="20"/>
          <w:szCs w:val="20"/>
        </w:rPr>
        <w:t xml:space="preserve"> </w:t>
      </w:r>
      <w:r w:rsidRPr="004B0563">
        <w:rPr>
          <w:sz w:val="20"/>
          <w:szCs w:val="20"/>
        </w:rPr>
        <w:t>W terminie 6 tygodni od daty wywieszenia wykazu osobom fizycznym i prawnym przysługuje pierwszeństwo w nabyciu nieruchomości jeżeli: przysługuje roszczenie z mocy tej ustawy lub odrębnych przepisów byłym, poprzednim właścicielom, a prawa własności zostali pozbawie</w:t>
      </w:r>
      <w:r w:rsidR="004B0563">
        <w:rPr>
          <w:sz w:val="20"/>
          <w:szCs w:val="20"/>
        </w:rPr>
        <w:t>ni przed dniem 5 grudnia 1990 r.</w:t>
      </w:r>
    </w:p>
    <w:p w14:paraId="6DAFF86D" w14:textId="77777777" w:rsidR="00AD2CBC" w:rsidRDefault="00AE4C69" w:rsidP="00AD2CBC">
      <w:pPr>
        <w:spacing w:line="360" w:lineRule="auto"/>
        <w:ind w:firstLine="0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14:paraId="68628A26" w14:textId="77777777" w:rsidR="00D926E4" w:rsidRDefault="00D926E4" w:rsidP="00AD2CBC">
      <w:pPr>
        <w:spacing w:line="360" w:lineRule="auto"/>
        <w:ind w:firstLine="0"/>
        <w:rPr>
          <w:sz w:val="20"/>
          <w:szCs w:val="20"/>
        </w:rPr>
      </w:pPr>
    </w:p>
    <w:p w14:paraId="5D206079" w14:textId="77777777" w:rsidR="00D926E4" w:rsidRDefault="00D926E4" w:rsidP="00AD2CBC">
      <w:pPr>
        <w:spacing w:line="360" w:lineRule="auto"/>
        <w:ind w:firstLine="0"/>
        <w:rPr>
          <w:sz w:val="20"/>
          <w:szCs w:val="20"/>
        </w:rPr>
      </w:pPr>
    </w:p>
    <w:p w14:paraId="37248E50" w14:textId="77777777" w:rsidR="00D926E4" w:rsidRDefault="00D926E4" w:rsidP="00AD2CBC">
      <w:pPr>
        <w:spacing w:line="360" w:lineRule="auto"/>
        <w:ind w:firstLine="0"/>
        <w:rPr>
          <w:sz w:val="20"/>
          <w:szCs w:val="20"/>
        </w:rPr>
      </w:pPr>
    </w:p>
    <w:p w14:paraId="316BF47B" w14:textId="77777777" w:rsidR="00D926E4" w:rsidRDefault="00D926E4" w:rsidP="00AD2CBC">
      <w:pPr>
        <w:spacing w:line="360" w:lineRule="auto"/>
        <w:ind w:firstLine="0"/>
        <w:rPr>
          <w:sz w:val="20"/>
          <w:szCs w:val="20"/>
        </w:rPr>
      </w:pPr>
    </w:p>
    <w:p w14:paraId="12DA5EE4" w14:textId="158EEABA" w:rsidR="009232F9" w:rsidRPr="00AD2CBC" w:rsidRDefault="009232F9" w:rsidP="00AD2CBC">
      <w:pPr>
        <w:spacing w:line="360" w:lineRule="auto"/>
        <w:ind w:firstLine="0"/>
        <w:rPr>
          <w:sz w:val="20"/>
          <w:szCs w:val="20"/>
        </w:rPr>
      </w:pPr>
      <w:r w:rsidRPr="00AD2CBC">
        <w:rPr>
          <w:sz w:val="20"/>
          <w:szCs w:val="20"/>
        </w:rPr>
        <w:t xml:space="preserve">Data wywieszenia wykazu: </w:t>
      </w:r>
      <w:r w:rsidR="002E554F" w:rsidRPr="00AD2CBC">
        <w:rPr>
          <w:sz w:val="20"/>
          <w:szCs w:val="20"/>
        </w:rPr>
        <w:t>…………………….</w:t>
      </w:r>
      <w:r w:rsidR="0000402B" w:rsidRPr="00AD2CBC">
        <w:rPr>
          <w:sz w:val="20"/>
          <w:szCs w:val="20"/>
        </w:rPr>
        <w:t xml:space="preserve"> r.</w:t>
      </w:r>
      <w:r w:rsidR="00516AC7" w:rsidRPr="00AD2CBC">
        <w:rPr>
          <w:sz w:val="20"/>
          <w:szCs w:val="20"/>
        </w:rPr>
        <w:t xml:space="preserve">     Data</w:t>
      </w:r>
      <w:r w:rsidR="002E554F" w:rsidRPr="00AD2CBC">
        <w:rPr>
          <w:sz w:val="20"/>
          <w:szCs w:val="20"/>
        </w:rPr>
        <w:t xml:space="preserve"> zdjęcia wykazu: ………………………… r.</w:t>
      </w:r>
    </w:p>
    <w:sectPr w:rsidR="009232F9" w:rsidRPr="00AD2CBC" w:rsidSect="0070337C">
      <w:pgSz w:w="16839" w:h="11907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93723"/>
    <w:multiLevelType w:val="hybridMultilevel"/>
    <w:tmpl w:val="3E082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7136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8E6"/>
    <w:rsid w:val="0000402B"/>
    <w:rsid w:val="002D68E6"/>
    <w:rsid w:val="002E554F"/>
    <w:rsid w:val="00315370"/>
    <w:rsid w:val="00406C10"/>
    <w:rsid w:val="004B0563"/>
    <w:rsid w:val="00516AC7"/>
    <w:rsid w:val="00516E8D"/>
    <w:rsid w:val="00520B3C"/>
    <w:rsid w:val="005C606B"/>
    <w:rsid w:val="0070337C"/>
    <w:rsid w:val="00870AFF"/>
    <w:rsid w:val="00874B5B"/>
    <w:rsid w:val="008775D5"/>
    <w:rsid w:val="009232F9"/>
    <w:rsid w:val="009E7CFA"/>
    <w:rsid w:val="00A07062"/>
    <w:rsid w:val="00AD2CBC"/>
    <w:rsid w:val="00AD3462"/>
    <w:rsid w:val="00AE4C69"/>
    <w:rsid w:val="00C0463A"/>
    <w:rsid w:val="00C55492"/>
    <w:rsid w:val="00CE7D93"/>
    <w:rsid w:val="00D926E4"/>
    <w:rsid w:val="00E772D9"/>
    <w:rsid w:val="00F01585"/>
    <w:rsid w:val="00F30F21"/>
    <w:rsid w:val="00FD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E3040"/>
  <w15:chartTrackingRefBased/>
  <w15:docId w15:val="{8195AC51-C4AE-4BA3-A491-C4F51AB9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6C1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6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232F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72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2D9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D6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0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EFDC5-EFEA-4CB3-B0DB-3B16B60ED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BURCZYK</dc:creator>
  <cp:keywords/>
  <dc:description/>
  <cp:lastModifiedBy>PAWEL.BURCZYK</cp:lastModifiedBy>
  <cp:revision>4</cp:revision>
  <cp:lastPrinted>2024-02-27T08:53:00Z</cp:lastPrinted>
  <dcterms:created xsi:type="dcterms:W3CDTF">2024-02-27T08:47:00Z</dcterms:created>
  <dcterms:modified xsi:type="dcterms:W3CDTF">2024-02-27T08:53:00Z</dcterms:modified>
</cp:coreProperties>
</file>