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FD7EA" w14:textId="0A18228E" w:rsidR="008D1F32" w:rsidRDefault="008D1F32" w:rsidP="00513A2A">
      <w:pPr>
        <w:shd w:val="clear" w:color="auto" w:fill="FFFFFF"/>
        <w:spacing w:after="0" w:line="240" w:lineRule="auto"/>
        <w:jc w:val="right"/>
        <w:textAlignment w:val="baseline"/>
        <w:rPr>
          <w:rFonts w:cstheme="minorHAnsi"/>
          <w:sz w:val="20"/>
          <w:szCs w:val="20"/>
        </w:rPr>
      </w:pPr>
      <w:r>
        <w:rPr>
          <w:rFonts w:cstheme="minorHAnsi"/>
          <w:sz w:val="20"/>
          <w:szCs w:val="20"/>
        </w:rPr>
        <w:t xml:space="preserve">Mielec, 04.08.2022 r. </w:t>
      </w:r>
    </w:p>
    <w:p w14:paraId="2C1B0912" w14:textId="77777777" w:rsidR="008D1F32" w:rsidRDefault="008D1F32" w:rsidP="00513A2A">
      <w:pPr>
        <w:shd w:val="clear" w:color="auto" w:fill="FFFFFF"/>
        <w:spacing w:after="0" w:line="240" w:lineRule="auto"/>
        <w:jc w:val="right"/>
        <w:textAlignment w:val="baseline"/>
        <w:rPr>
          <w:rFonts w:cstheme="minorHAnsi"/>
          <w:sz w:val="20"/>
          <w:szCs w:val="20"/>
        </w:rPr>
      </w:pPr>
    </w:p>
    <w:p w14:paraId="0D95551A" w14:textId="77777777" w:rsidR="00513A2A" w:rsidRPr="00B51D71" w:rsidRDefault="00513A2A" w:rsidP="00513A2A">
      <w:pPr>
        <w:shd w:val="clear" w:color="auto" w:fill="FFFFFF"/>
        <w:spacing w:after="0" w:line="240" w:lineRule="auto"/>
        <w:jc w:val="center"/>
        <w:textAlignment w:val="baseline"/>
        <w:rPr>
          <w:rFonts w:cstheme="minorHAnsi"/>
          <w:b/>
          <w:bCs/>
          <w:sz w:val="20"/>
          <w:szCs w:val="20"/>
        </w:rPr>
      </w:pPr>
    </w:p>
    <w:p w14:paraId="4074C9E4" w14:textId="782DBC14" w:rsidR="00513A2A" w:rsidRPr="00B51D71" w:rsidRDefault="00513A2A" w:rsidP="00513A2A">
      <w:pPr>
        <w:shd w:val="clear" w:color="auto" w:fill="FFFFFF"/>
        <w:spacing w:after="0" w:line="240" w:lineRule="auto"/>
        <w:jc w:val="center"/>
        <w:textAlignment w:val="baseline"/>
        <w:rPr>
          <w:rFonts w:eastAsia="Times New Roman" w:cstheme="minorHAnsi"/>
          <w:b/>
          <w:bCs/>
          <w:sz w:val="24"/>
          <w:szCs w:val="24"/>
          <w:bdr w:val="none" w:sz="0" w:space="0" w:color="auto" w:frame="1"/>
          <w:lang w:eastAsia="pl-PL"/>
        </w:rPr>
      </w:pPr>
      <w:r w:rsidRPr="00B51D71">
        <w:rPr>
          <w:rFonts w:cstheme="minorHAnsi"/>
          <w:b/>
          <w:bCs/>
          <w:sz w:val="24"/>
          <w:szCs w:val="24"/>
        </w:rPr>
        <w:t>SPRAWOZDANIE Z PRZEBIEGU I WYNIKÓW KONSULTACJI</w:t>
      </w:r>
    </w:p>
    <w:p w14:paraId="4045DE2A" w14:textId="77777777" w:rsidR="00513A2A" w:rsidRPr="00B51D71" w:rsidRDefault="00513A2A" w:rsidP="00411266">
      <w:pPr>
        <w:shd w:val="clear" w:color="auto" w:fill="FFFFFF"/>
        <w:spacing w:after="0" w:line="240" w:lineRule="auto"/>
        <w:jc w:val="both"/>
        <w:textAlignment w:val="baseline"/>
        <w:rPr>
          <w:rFonts w:eastAsia="Times New Roman" w:cstheme="minorHAnsi"/>
          <w:b/>
          <w:bCs/>
          <w:sz w:val="20"/>
          <w:szCs w:val="20"/>
          <w:bdr w:val="none" w:sz="0" w:space="0" w:color="auto" w:frame="1"/>
          <w:lang w:eastAsia="pl-PL"/>
        </w:rPr>
      </w:pPr>
    </w:p>
    <w:p w14:paraId="400D7F15" w14:textId="2DA6964A" w:rsidR="00411266" w:rsidRPr="000F2F27" w:rsidRDefault="003C4CCD" w:rsidP="003C4CCD">
      <w:pPr>
        <w:shd w:val="clear" w:color="auto" w:fill="FFFFFF"/>
        <w:spacing w:after="20" w:line="240" w:lineRule="auto"/>
        <w:jc w:val="both"/>
        <w:textAlignment w:val="baseline"/>
        <w:rPr>
          <w:rFonts w:eastAsia="Times New Roman" w:cstheme="minorHAnsi"/>
          <w:sz w:val="20"/>
          <w:szCs w:val="20"/>
          <w:lang w:eastAsia="pl-PL"/>
        </w:rPr>
      </w:pPr>
      <w:r w:rsidRPr="000F2F27">
        <w:rPr>
          <w:rFonts w:eastAsia="Times New Roman" w:cstheme="minorHAnsi"/>
          <w:sz w:val="20"/>
          <w:szCs w:val="20"/>
          <w:lang w:eastAsia="pl-PL"/>
        </w:rPr>
        <w:t>Konsultacje</w:t>
      </w:r>
      <w:r w:rsidR="000F2F27" w:rsidRPr="000F2F27">
        <w:rPr>
          <w:rFonts w:eastAsia="Times New Roman" w:cstheme="minorHAnsi"/>
          <w:sz w:val="20"/>
          <w:szCs w:val="20"/>
          <w:lang w:eastAsia="pl-PL"/>
        </w:rPr>
        <w:t xml:space="preserve"> projektu </w:t>
      </w:r>
      <w:r w:rsidR="00411266" w:rsidRPr="000F2F27">
        <w:rPr>
          <w:rFonts w:eastAsia="Times New Roman" w:cstheme="minorHAnsi"/>
          <w:i/>
          <w:iCs/>
          <w:sz w:val="20"/>
          <w:szCs w:val="20"/>
          <w:lang w:eastAsia="pl-PL"/>
        </w:rPr>
        <w:t>Strategi</w:t>
      </w:r>
      <w:r w:rsidR="000F2F27" w:rsidRPr="000F2F27">
        <w:rPr>
          <w:rFonts w:eastAsia="Times New Roman" w:cstheme="minorHAnsi"/>
          <w:i/>
          <w:iCs/>
          <w:sz w:val="20"/>
          <w:szCs w:val="20"/>
          <w:lang w:eastAsia="pl-PL"/>
        </w:rPr>
        <w:t>i</w:t>
      </w:r>
      <w:r w:rsidR="00411266" w:rsidRPr="000F2F27">
        <w:rPr>
          <w:rFonts w:eastAsia="Times New Roman" w:cstheme="minorHAnsi"/>
          <w:i/>
          <w:iCs/>
          <w:sz w:val="20"/>
          <w:szCs w:val="20"/>
          <w:lang w:eastAsia="pl-PL"/>
        </w:rPr>
        <w:t xml:space="preserve"> Rozwoju Ponadlokalnego „Dorzecze Wisłoki”</w:t>
      </w:r>
      <w:r w:rsidR="000F2F27" w:rsidRPr="000F2F27">
        <w:rPr>
          <w:rFonts w:eastAsia="Times New Roman" w:cstheme="minorHAnsi"/>
          <w:i/>
          <w:iCs/>
          <w:sz w:val="20"/>
          <w:szCs w:val="20"/>
          <w:lang w:eastAsia="pl-PL"/>
        </w:rPr>
        <w:t xml:space="preserve"> na lata 2022 - </w:t>
      </w:r>
      <w:r w:rsidR="00411266" w:rsidRPr="000F2F27">
        <w:rPr>
          <w:rFonts w:eastAsia="Times New Roman" w:cstheme="minorHAnsi"/>
          <w:i/>
          <w:iCs/>
          <w:sz w:val="20"/>
          <w:szCs w:val="20"/>
          <w:lang w:eastAsia="pl-PL"/>
        </w:rPr>
        <w:t>2030</w:t>
      </w:r>
      <w:r w:rsidR="00411266" w:rsidRPr="000F2F27">
        <w:rPr>
          <w:rFonts w:eastAsia="Times New Roman" w:cstheme="minorHAnsi"/>
          <w:sz w:val="20"/>
          <w:szCs w:val="20"/>
          <w:lang w:eastAsia="pl-PL"/>
        </w:rPr>
        <w:t xml:space="preserve"> (dalej Strategia) </w:t>
      </w:r>
      <w:r w:rsidR="00973D82" w:rsidRPr="000F2F27">
        <w:rPr>
          <w:rFonts w:eastAsia="Times New Roman" w:cstheme="minorHAnsi"/>
          <w:sz w:val="20"/>
          <w:szCs w:val="20"/>
          <w:lang w:eastAsia="pl-PL"/>
        </w:rPr>
        <w:t xml:space="preserve">zostały przeprowadzone </w:t>
      </w:r>
      <w:r w:rsidRPr="000F2F27">
        <w:rPr>
          <w:rFonts w:eastAsia="Times New Roman" w:cstheme="minorHAnsi"/>
          <w:sz w:val="20"/>
          <w:szCs w:val="20"/>
          <w:lang w:eastAsia="pl-PL"/>
        </w:rPr>
        <w:t xml:space="preserve">na podstawie Uchwały </w:t>
      </w:r>
      <w:r w:rsidR="008D1F32">
        <w:rPr>
          <w:rFonts w:eastAsia="Times New Roman" w:cstheme="minorHAnsi"/>
          <w:sz w:val="20"/>
          <w:szCs w:val="20"/>
          <w:lang w:eastAsia="pl-PL"/>
        </w:rPr>
        <w:t xml:space="preserve">Nr XXXII/293/2021 Rady Powiatu Mieleckiego z dnia 21 czerwca 2021 r.  </w:t>
      </w:r>
      <w:r w:rsidR="00411266" w:rsidRPr="000F2F27">
        <w:rPr>
          <w:rFonts w:eastAsia="Times New Roman" w:cstheme="minorHAnsi"/>
          <w:sz w:val="20"/>
          <w:szCs w:val="20"/>
          <w:lang w:eastAsia="pl-PL"/>
        </w:rPr>
        <w:t xml:space="preserve"> Sprawozdanie z przebiegu i wyników konsultacji podlega publikacji na stronie</w:t>
      </w:r>
      <w:r w:rsidR="00263388">
        <w:rPr>
          <w:rFonts w:eastAsia="Times New Roman" w:cstheme="minorHAnsi"/>
          <w:sz w:val="20"/>
          <w:szCs w:val="20"/>
          <w:lang w:eastAsia="pl-PL"/>
        </w:rPr>
        <w:t>:</w:t>
      </w:r>
      <w:r w:rsidR="00411266" w:rsidRPr="000F2F27">
        <w:rPr>
          <w:rFonts w:eastAsia="Times New Roman" w:cstheme="minorHAnsi"/>
          <w:sz w:val="20"/>
          <w:szCs w:val="20"/>
          <w:lang w:eastAsia="pl-PL"/>
        </w:rPr>
        <w:t xml:space="preserve"> </w:t>
      </w:r>
      <w:hyperlink r:id="rId8" w:history="1">
        <w:r w:rsidR="008D1F32" w:rsidRPr="00754A61">
          <w:rPr>
            <w:rStyle w:val="Hipercze"/>
            <w:rFonts w:eastAsia="Times New Roman" w:cstheme="minorHAnsi"/>
            <w:sz w:val="20"/>
            <w:szCs w:val="20"/>
            <w:lang w:eastAsia="pl-PL"/>
          </w:rPr>
          <w:t>https://bip.powiat-mielecki.pl/dla-mieszkancow/tablica-ogloszen</w:t>
        </w:r>
      </w:hyperlink>
      <w:r w:rsidR="008D1F32">
        <w:rPr>
          <w:rFonts w:eastAsia="Times New Roman" w:cstheme="minorHAnsi"/>
          <w:sz w:val="20"/>
          <w:szCs w:val="20"/>
          <w:lang w:eastAsia="pl-PL"/>
        </w:rPr>
        <w:t xml:space="preserve"> </w:t>
      </w:r>
    </w:p>
    <w:p w14:paraId="60057573" w14:textId="79ECEBFD" w:rsidR="003C4CCD" w:rsidRPr="000F2F27" w:rsidRDefault="003C4CCD" w:rsidP="003C4CCD">
      <w:pPr>
        <w:shd w:val="clear" w:color="auto" w:fill="FFFFFF"/>
        <w:spacing w:after="20" w:line="240" w:lineRule="auto"/>
        <w:jc w:val="both"/>
        <w:textAlignment w:val="baseline"/>
        <w:rPr>
          <w:rFonts w:eastAsia="Times New Roman" w:cstheme="minorHAnsi"/>
          <w:sz w:val="20"/>
          <w:szCs w:val="20"/>
          <w:lang w:eastAsia="pl-PL"/>
        </w:rPr>
      </w:pPr>
      <w:r w:rsidRPr="000F2F27">
        <w:rPr>
          <w:rFonts w:eastAsia="Times New Roman" w:cstheme="minorHAnsi"/>
          <w:sz w:val="20"/>
          <w:szCs w:val="20"/>
          <w:lang w:eastAsia="pl-PL"/>
        </w:rPr>
        <w:t>Projekt Strategii</w:t>
      </w:r>
      <w:r w:rsidRPr="000F2F27">
        <w:rPr>
          <w:rFonts w:eastAsia="Times New Roman" w:cstheme="minorHAnsi"/>
          <w:i/>
          <w:iCs/>
          <w:sz w:val="20"/>
          <w:szCs w:val="20"/>
          <w:lang w:eastAsia="pl-PL"/>
        </w:rPr>
        <w:t xml:space="preserve"> </w:t>
      </w:r>
      <w:r w:rsidRPr="000F2F27">
        <w:rPr>
          <w:rFonts w:eastAsia="Times New Roman" w:cstheme="minorHAnsi"/>
          <w:sz w:val="20"/>
          <w:szCs w:val="20"/>
          <w:lang w:eastAsia="pl-PL"/>
        </w:rPr>
        <w:t>podlegał konsultacjom w szczególności</w:t>
      </w:r>
      <w:r w:rsidR="00E82891" w:rsidRPr="000F2F27">
        <w:rPr>
          <w:rFonts w:eastAsia="Times New Roman" w:cstheme="minorHAnsi"/>
          <w:sz w:val="20"/>
          <w:szCs w:val="20"/>
          <w:lang w:eastAsia="pl-PL"/>
        </w:rPr>
        <w:t xml:space="preserve"> z: </w:t>
      </w:r>
    </w:p>
    <w:p w14:paraId="40F4138D" w14:textId="641EC4E0" w:rsidR="00E82891" w:rsidRPr="000F2F27" w:rsidRDefault="00E82891" w:rsidP="00E82891">
      <w:pPr>
        <w:pStyle w:val="Akapitzlist"/>
        <w:numPr>
          <w:ilvl w:val="0"/>
          <w:numId w:val="3"/>
        </w:numPr>
        <w:shd w:val="clear" w:color="auto" w:fill="FFFFFF"/>
        <w:spacing w:before="150" w:after="2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M</w:t>
      </w:r>
      <w:r w:rsidR="003C4CCD" w:rsidRPr="000F2F27">
        <w:rPr>
          <w:rFonts w:asciiTheme="minorHAnsi" w:hAnsiTheme="minorHAnsi" w:cstheme="minorHAnsi"/>
          <w:sz w:val="20"/>
          <w:szCs w:val="20"/>
        </w:rPr>
        <w:t>ieszkańcami</w:t>
      </w:r>
      <w:r w:rsidRPr="000F2F27">
        <w:rPr>
          <w:rFonts w:asciiTheme="minorHAnsi" w:hAnsiTheme="minorHAnsi" w:cstheme="minorHAnsi"/>
          <w:sz w:val="20"/>
          <w:szCs w:val="20"/>
        </w:rPr>
        <w:t xml:space="preserve">: Gminy Biecz, Gminy Borowa, Gminy Brzostek, Gminy Brzyska, Gminy Chorkówka, Gminy Czarna, Gminy Czermin, Gminy Dębica, Miasto Dębica, Gminy Dębowiec, Gminy Gawłuszowice, Gminy Jasło, Miasto Jasło, Gminy Jedlicze, Gminy Jodłowa, Gminy Kołaczyce, Gminy Krempna, Gminy Mielec, Miasto Mielec, Gminy Nowy Żmigród, Gminy Osiek Jasielski, Gminy Padew Narodowa, Gminy Pilzno, Gminy Przecław, Gminy Radomyśl Wielki, Gminy Sękowa, Gminy Skołyszyn, Gminy Szerzyny, Gminy Tarnowiec, Gminy Tuszów Narodowy, Gminy Wadowice Górne, Gminy Żyraków  </w:t>
      </w:r>
    </w:p>
    <w:p w14:paraId="26101816" w14:textId="710E2BDA" w:rsidR="003C4CCD" w:rsidRPr="000F2F27" w:rsidRDefault="00E82891" w:rsidP="00E82891">
      <w:pPr>
        <w:pStyle w:val="Akapitzlist"/>
        <w:numPr>
          <w:ilvl w:val="0"/>
          <w:numId w:val="3"/>
        </w:numPr>
        <w:shd w:val="clear" w:color="auto" w:fill="FFFFFF"/>
        <w:spacing w:before="150" w:after="2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P</w:t>
      </w:r>
      <w:r w:rsidR="003C4CCD" w:rsidRPr="000F2F27">
        <w:rPr>
          <w:rFonts w:asciiTheme="minorHAnsi" w:hAnsiTheme="minorHAnsi" w:cstheme="minorHAnsi"/>
          <w:sz w:val="20"/>
          <w:szCs w:val="20"/>
        </w:rPr>
        <w:t>artnerami społecznymi i gospodarczymi</w:t>
      </w:r>
    </w:p>
    <w:p w14:paraId="5278C1A8" w14:textId="0F954C95" w:rsidR="003C4CCD" w:rsidRPr="000F2F27" w:rsidRDefault="00E82891" w:rsidP="00E82891">
      <w:pPr>
        <w:pStyle w:val="Akapitzlist"/>
        <w:numPr>
          <w:ilvl w:val="0"/>
          <w:numId w:val="3"/>
        </w:numPr>
        <w:shd w:val="clear" w:color="auto" w:fill="FFFFFF"/>
        <w:spacing w:before="150" w:after="2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S</w:t>
      </w:r>
      <w:r w:rsidR="003C4CCD" w:rsidRPr="000F2F27">
        <w:rPr>
          <w:rFonts w:asciiTheme="minorHAnsi" w:hAnsiTheme="minorHAnsi" w:cstheme="minorHAnsi"/>
          <w:sz w:val="20"/>
          <w:szCs w:val="20"/>
        </w:rPr>
        <w:t xml:space="preserve">ąsiednimi gminami i ich związkami </w:t>
      </w:r>
    </w:p>
    <w:p w14:paraId="566C76BE" w14:textId="6A34F85B" w:rsidR="009578A5" w:rsidRPr="000F2F27" w:rsidRDefault="003C4CCD" w:rsidP="00032728">
      <w:pPr>
        <w:pStyle w:val="Akapitzlist"/>
        <w:numPr>
          <w:ilvl w:val="0"/>
          <w:numId w:val="3"/>
        </w:numPr>
        <w:shd w:val="clear" w:color="auto" w:fill="FFFFFF"/>
        <w:spacing w:before="150" w:after="2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Dyrektorem Regionalnego </w:t>
      </w:r>
      <w:r w:rsidR="00263388">
        <w:rPr>
          <w:rFonts w:asciiTheme="minorHAnsi" w:hAnsiTheme="minorHAnsi" w:cstheme="minorHAnsi"/>
          <w:sz w:val="20"/>
          <w:szCs w:val="20"/>
        </w:rPr>
        <w:t>Z</w:t>
      </w:r>
      <w:r w:rsidRPr="000F2F27">
        <w:rPr>
          <w:rFonts w:asciiTheme="minorHAnsi" w:hAnsiTheme="minorHAnsi" w:cstheme="minorHAnsi"/>
          <w:sz w:val="20"/>
          <w:szCs w:val="20"/>
        </w:rPr>
        <w:t xml:space="preserve">arządu </w:t>
      </w:r>
      <w:r w:rsidR="00263388">
        <w:rPr>
          <w:rFonts w:asciiTheme="minorHAnsi" w:hAnsiTheme="minorHAnsi" w:cstheme="minorHAnsi"/>
          <w:sz w:val="20"/>
          <w:szCs w:val="20"/>
        </w:rPr>
        <w:t>G</w:t>
      </w:r>
      <w:r w:rsidRPr="000F2F27">
        <w:rPr>
          <w:rFonts w:asciiTheme="minorHAnsi" w:hAnsiTheme="minorHAnsi" w:cstheme="minorHAnsi"/>
          <w:sz w:val="20"/>
          <w:szCs w:val="20"/>
        </w:rPr>
        <w:t xml:space="preserve">ospodarki </w:t>
      </w:r>
      <w:r w:rsidR="00263388">
        <w:rPr>
          <w:rFonts w:asciiTheme="minorHAnsi" w:hAnsiTheme="minorHAnsi" w:cstheme="minorHAnsi"/>
          <w:sz w:val="20"/>
          <w:szCs w:val="20"/>
        </w:rPr>
        <w:t>W</w:t>
      </w:r>
      <w:r w:rsidRPr="000F2F27">
        <w:rPr>
          <w:rFonts w:asciiTheme="minorHAnsi" w:hAnsiTheme="minorHAnsi" w:cstheme="minorHAnsi"/>
          <w:sz w:val="20"/>
          <w:szCs w:val="20"/>
        </w:rPr>
        <w:t xml:space="preserve">odnej </w:t>
      </w:r>
      <w:r w:rsidR="009578A5" w:rsidRPr="000F2F27">
        <w:rPr>
          <w:rFonts w:asciiTheme="minorHAnsi" w:hAnsiTheme="minorHAnsi" w:cstheme="minorHAnsi"/>
          <w:sz w:val="20"/>
          <w:szCs w:val="20"/>
        </w:rPr>
        <w:t xml:space="preserve">Państwowego Gospodarstwa Wodnego Wody Polskie </w:t>
      </w:r>
      <w:r w:rsidRPr="000F2F27">
        <w:rPr>
          <w:rFonts w:asciiTheme="minorHAnsi" w:hAnsiTheme="minorHAnsi" w:cstheme="minorHAnsi"/>
          <w:sz w:val="20"/>
          <w:szCs w:val="20"/>
        </w:rPr>
        <w:t xml:space="preserve">w Krakowie oraz </w:t>
      </w:r>
      <w:r w:rsidR="009578A5" w:rsidRPr="000F2F27">
        <w:rPr>
          <w:rFonts w:asciiTheme="minorHAnsi" w:hAnsiTheme="minorHAnsi" w:cstheme="minorHAnsi"/>
          <w:sz w:val="20"/>
          <w:szCs w:val="20"/>
        </w:rPr>
        <w:t xml:space="preserve">Dyrektorem Regionalnego </w:t>
      </w:r>
      <w:r w:rsidR="00263388">
        <w:rPr>
          <w:rFonts w:asciiTheme="minorHAnsi" w:hAnsiTheme="minorHAnsi" w:cstheme="minorHAnsi"/>
          <w:sz w:val="20"/>
          <w:szCs w:val="20"/>
        </w:rPr>
        <w:t>Z</w:t>
      </w:r>
      <w:r w:rsidR="009578A5" w:rsidRPr="000F2F27">
        <w:rPr>
          <w:rFonts w:asciiTheme="minorHAnsi" w:hAnsiTheme="minorHAnsi" w:cstheme="minorHAnsi"/>
          <w:sz w:val="20"/>
          <w:szCs w:val="20"/>
        </w:rPr>
        <w:t xml:space="preserve">arządu </w:t>
      </w:r>
      <w:r w:rsidR="00263388">
        <w:rPr>
          <w:rFonts w:asciiTheme="minorHAnsi" w:hAnsiTheme="minorHAnsi" w:cstheme="minorHAnsi"/>
          <w:sz w:val="20"/>
          <w:szCs w:val="20"/>
        </w:rPr>
        <w:t>G</w:t>
      </w:r>
      <w:r w:rsidR="009578A5" w:rsidRPr="000F2F27">
        <w:rPr>
          <w:rFonts w:asciiTheme="minorHAnsi" w:hAnsiTheme="minorHAnsi" w:cstheme="minorHAnsi"/>
          <w:sz w:val="20"/>
          <w:szCs w:val="20"/>
        </w:rPr>
        <w:t xml:space="preserve">ospodarki </w:t>
      </w:r>
      <w:r w:rsidR="00263388">
        <w:rPr>
          <w:rFonts w:asciiTheme="minorHAnsi" w:hAnsiTheme="minorHAnsi" w:cstheme="minorHAnsi"/>
          <w:sz w:val="20"/>
          <w:szCs w:val="20"/>
        </w:rPr>
        <w:t>W</w:t>
      </w:r>
      <w:r w:rsidR="009578A5" w:rsidRPr="000F2F27">
        <w:rPr>
          <w:rFonts w:asciiTheme="minorHAnsi" w:hAnsiTheme="minorHAnsi" w:cstheme="minorHAnsi"/>
          <w:sz w:val="20"/>
          <w:szCs w:val="20"/>
        </w:rPr>
        <w:t xml:space="preserve">odnej Państwowego Gospodarstwa Wodnego Wody Polskie w Rzeszowie. </w:t>
      </w:r>
    </w:p>
    <w:p w14:paraId="396CD71B" w14:textId="26CA26AC" w:rsidR="003C4CCD" w:rsidRPr="000F2F27" w:rsidRDefault="00E82891" w:rsidP="003C4CCD">
      <w:pPr>
        <w:shd w:val="clear" w:color="auto" w:fill="FFFFFF"/>
        <w:spacing w:after="0" w:line="240" w:lineRule="auto"/>
        <w:jc w:val="both"/>
        <w:textAlignment w:val="baseline"/>
        <w:rPr>
          <w:rFonts w:eastAsia="Times New Roman" w:cstheme="minorHAnsi"/>
          <w:sz w:val="20"/>
          <w:szCs w:val="20"/>
          <w:lang w:eastAsia="pl-PL"/>
        </w:rPr>
      </w:pPr>
      <w:r w:rsidRPr="000F2F27">
        <w:rPr>
          <w:rFonts w:eastAsia="Times New Roman" w:cstheme="minorHAnsi"/>
          <w:sz w:val="20"/>
          <w:szCs w:val="20"/>
          <w:bdr w:val="none" w:sz="0" w:space="0" w:color="auto" w:frame="1"/>
          <w:lang w:eastAsia="pl-PL"/>
        </w:rPr>
        <w:t xml:space="preserve">Celem konsultacji było uzyskanie uwag i opinii dot. projektu </w:t>
      </w:r>
      <w:r w:rsidRPr="000F2F27">
        <w:rPr>
          <w:rFonts w:eastAsia="Times New Roman" w:cstheme="minorHAnsi"/>
          <w:sz w:val="20"/>
          <w:szCs w:val="20"/>
          <w:lang w:eastAsia="pl-PL"/>
        </w:rPr>
        <w:t>Strategii</w:t>
      </w:r>
      <w:r w:rsidR="00B51D71" w:rsidRPr="000F2F27">
        <w:rPr>
          <w:rFonts w:eastAsia="Times New Roman" w:cstheme="minorHAnsi"/>
          <w:i/>
          <w:iCs/>
          <w:sz w:val="20"/>
          <w:szCs w:val="20"/>
          <w:lang w:eastAsia="pl-PL"/>
        </w:rPr>
        <w:t xml:space="preserve">. </w:t>
      </w:r>
      <w:r w:rsidR="003C4CCD" w:rsidRPr="000F2F27">
        <w:rPr>
          <w:rFonts w:eastAsia="Times New Roman" w:cstheme="minorHAnsi"/>
          <w:sz w:val="20"/>
          <w:szCs w:val="20"/>
          <w:bdr w:val="none" w:sz="0" w:space="0" w:color="auto" w:frame="1"/>
          <w:lang w:eastAsia="pl-PL"/>
        </w:rPr>
        <w:t> </w:t>
      </w:r>
      <w:r w:rsidR="00973D82" w:rsidRPr="000F2F27">
        <w:rPr>
          <w:rFonts w:eastAsia="Times New Roman" w:cstheme="minorHAnsi"/>
          <w:sz w:val="20"/>
          <w:szCs w:val="20"/>
          <w:bdr w:val="none" w:sz="0" w:space="0" w:color="auto" w:frame="1"/>
          <w:lang w:eastAsia="pl-PL"/>
        </w:rPr>
        <w:t xml:space="preserve">Proces konsultacji przebiegał w następujący sposób: </w:t>
      </w:r>
    </w:p>
    <w:p w14:paraId="6C100C83" w14:textId="5E5EEC5E" w:rsidR="009578A5" w:rsidRPr="000F2F27" w:rsidRDefault="00051C04" w:rsidP="00263388">
      <w:pPr>
        <w:pStyle w:val="Akapitzlist"/>
        <w:numPr>
          <w:ilvl w:val="0"/>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Do udziału w konsultacjach zaproszeni </w:t>
      </w:r>
      <w:r w:rsidR="00263388">
        <w:rPr>
          <w:rFonts w:asciiTheme="minorHAnsi" w:hAnsiTheme="minorHAnsi" w:cstheme="minorHAnsi"/>
          <w:sz w:val="20"/>
          <w:szCs w:val="20"/>
        </w:rPr>
        <w:t xml:space="preserve">zostali </w:t>
      </w:r>
      <w:r w:rsidRPr="000F2F27">
        <w:rPr>
          <w:rFonts w:asciiTheme="minorHAnsi" w:hAnsiTheme="minorHAnsi" w:cstheme="minorHAnsi"/>
          <w:sz w:val="20"/>
          <w:szCs w:val="20"/>
        </w:rPr>
        <w:t>mieszkańcy gmin, lokalnych partnerów społeczno-gospodarczych oraz sąsiednie gminy i ich związki</w:t>
      </w:r>
      <w:r w:rsidR="00E37619" w:rsidRPr="000F2F27">
        <w:rPr>
          <w:rFonts w:asciiTheme="minorHAnsi" w:hAnsiTheme="minorHAnsi" w:cstheme="minorHAnsi"/>
          <w:sz w:val="20"/>
          <w:szCs w:val="20"/>
        </w:rPr>
        <w:t xml:space="preserve"> oraz właściwi terytorialnie Dyrektorzy </w:t>
      </w:r>
      <w:r w:rsidR="00263388">
        <w:rPr>
          <w:rFonts w:asciiTheme="minorHAnsi" w:hAnsiTheme="minorHAnsi" w:cstheme="minorHAnsi"/>
          <w:sz w:val="20"/>
          <w:szCs w:val="20"/>
        </w:rPr>
        <w:t>r</w:t>
      </w:r>
      <w:r w:rsidR="00E37619" w:rsidRPr="000F2F27">
        <w:rPr>
          <w:rFonts w:asciiTheme="minorHAnsi" w:hAnsiTheme="minorHAnsi" w:cstheme="minorHAnsi"/>
          <w:sz w:val="20"/>
          <w:szCs w:val="20"/>
        </w:rPr>
        <w:t xml:space="preserve">egionalnych </w:t>
      </w:r>
      <w:r w:rsidR="00263388">
        <w:rPr>
          <w:rFonts w:asciiTheme="minorHAnsi" w:hAnsiTheme="minorHAnsi" w:cstheme="minorHAnsi"/>
          <w:sz w:val="20"/>
          <w:szCs w:val="20"/>
        </w:rPr>
        <w:t>o</w:t>
      </w:r>
      <w:r w:rsidR="00E37619" w:rsidRPr="000F2F27">
        <w:rPr>
          <w:rFonts w:asciiTheme="minorHAnsi" w:hAnsiTheme="minorHAnsi" w:cstheme="minorHAnsi"/>
          <w:sz w:val="20"/>
          <w:szCs w:val="20"/>
        </w:rPr>
        <w:t xml:space="preserve">ddziałów Zarządu Gospodarki Wodnej Państwowego Gospodarstwa Wodnego Wody Polskie. </w:t>
      </w:r>
    </w:p>
    <w:p w14:paraId="00FE9EBC" w14:textId="2FAEC10B" w:rsidR="008D1F32" w:rsidRDefault="00E37619" w:rsidP="00263388">
      <w:pPr>
        <w:pStyle w:val="Akapitzlist"/>
        <w:numPr>
          <w:ilvl w:val="0"/>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Ogłoszenie o konsultacjach społecznych opublikowane </w:t>
      </w:r>
      <w:r w:rsidR="00263388">
        <w:rPr>
          <w:rFonts w:asciiTheme="minorHAnsi" w:hAnsiTheme="minorHAnsi" w:cstheme="minorHAnsi"/>
          <w:sz w:val="20"/>
          <w:szCs w:val="20"/>
        </w:rPr>
        <w:t xml:space="preserve">zostało </w:t>
      </w:r>
      <w:r w:rsidRPr="000F2F27">
        <w:rPr>
          <w:rFonts w:asciiTheme="minorHAnsi" w:hAnsiTheme="minorHAnsi" w:cstheme="minorHAnsi"/>
          <w:sz w:val="20"/>
          <w:szCs w:val="20"/>
        </w:rPr>
        <w:t>na stronie internetowej pod adresem</w:t>
      </w:r>
      <w:r w:rsidR="00263388">
        <w:rPr>
          <w:rFonts w:asciiTheme="minorHAnsi" w:hAnsiTheme="minorHAnsi" w:cstheme="minorHAnsi"/>
          <w:sz w:val="20"/>
          <w:szCs w:val="20"/>
        </w:rPr>
        <w:t>:</w:t>
      </w:r>
      <w:r w:rsidRPr="000F2F27">
        <w:rPr>
          <w:rFonts w:asciiTheme="minorHAnsi" w:hAnsiTheme="minorHAnsi" w:cstheme="minorHAnsi"/>
          <w:sz w:val="20"/>
          <w:szCs w:val="20"/>
        </w:rPr>
        <w:t xml:space="preserve"> </w:t>
      </w:r>
      <w:hyperlink r:id="rId9" w:history="1">
        <w:r w:rsidR="008D1F32" w:rsidRPr="008D1F32">
          <w:rPr>
            <w:rStyle w:val="Hipercze"/>
            <w:sz w:val="20"/>
            <w:szCs w:val="20"/>
          </w:rPr>
          <w:t>https://bip.powiat-mielecki.pl/dla-mieszkancow/tablica-ogloszen/srp-dw-2030-487.html</w:t>
        </w:r>
      </w:hyperlink>
    </w:p>
    <w:p w14:paraId="2EEEE8AE" w14:textId="431C33B7" w:rsidR="009578A5" w:rsidRPr="000F2F27" w:rsidRDefault="00E37619" w:rsidP="00263388">
      <w:pPr>
        <w:pStyle w:val="Akapitzlist"/>
        <w:numPr>
          <w:ilvl w:val="0"/>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Uwagi i opinie do </w:t>
      </w:r>
      <w:r w:rsidR="000F2F27" w:rsidRPr="000F2F27">
        <w:rPr>
          <w:rFonts w:asciiTheme="minorHAnsi" w:hAnsiTheme="minorHAnsi" w:cstheme="minorHAnsi"/>
          <w:sz w:val="20"/>
          <w:szCs w:val="20"/>
        </w:rPr>
        <w:t>projektu</w:t>
      </w:r>
      <w:r w:rsidRPr="000F2F27">
        <w:rPr>
          <w:rFonts w:asciiTheme="minorHAnsi" w:hAnsiTheme="minorHAnsi" w:cstheme="minorHAnsi"/>
          <w:sz w:val="20"/>
          <w:szCs w:val="20"/>
        </w:rPr>
        <w:t xml:space="preserve"> Strategii można było zgłaszać w terminie od 15.06.2022 r. do 25.07.2022 r. za pośrednictwem formularza internetowego, który znajdował się </w:t>
      </w:r>
      <w:r w:rsidR="00863B15" w:rsidRPr="000F2F27">
        <w:rPr>
          <w:rFonts w:asciiTheme="minorHAnsi" w:hAnsiTheme="minorHAnsi" w:cstheme="minorHAnsi"/>
          <w:sz w:val="20"/>
          <w:szCs w:val="20"/>
        </w:rPr>
        <w:t>pod adresem</w:t>
      </w:r>
      <w:r w:rsidR="00263388">
        <w:rPr>
          <w:rFonts w:asciiTheme="minorHAnsi" w:hAnsiTheme="minorHAnsi" w:cstheme="minorHAnsi"/>
          <w:sz w:val="20"/>
          <w:szCs w:val="20"/>
        </w:rPr>
        <w:t>:</w:t>
      </w:r>
      <w:r w:rsidR="00863B15" w:rsidRPr="000F2F27">
        <w:rPr>
          <w:rFonts w:asciiTheme="minorHAnsi" w:hAnsiTheme="minorHAnsi" w:cstheme="minorHAnsi"/>
          <w:sz w:val="20"/>
          <w:szCs w:val="20"/>
        </w:rPr>
        <w:t xml:space="preserve"> </w:t>
      </w:r>
      <w:hyperlink r:id="rId10" w:history="1">
        <w:r w:rsidR="00863B15" w:rsidRPr="000F2F27">
          <w:rPr>
            <w:rStyle w:val="Hipercze"/>
            <w:rFonts w:asciiTheme="minorHAnsi" w:hAnsiTheme="minorHAnsi" w:cstheme="minorHAnsi"/>
            <w:color w:val="auto"/>
            <w:sz w:val="20"/>
            <w:szCs w:val="20"/>
          </w:rPr>
          <w:t>https://konsultacjewisloka.webankieta.pl/</w:t>
        </w:r>
      </w:hyperlink>
      <w:r w:rsidR="00863B15" w:rsidRPr="000F2F27">
        <w:rPr>
          <w:rFonts w:asciiTheme="minorHAnsi" w:hAnsiTheme="minorHAnsi" w:cstheme="minorHAnsi"/>
          <w:sz w:val="20"/>
          <w:szCs w:val="20"/>
        </w:rPr>
        <w:t xml:space="preserve"> </w:t>
      </w:r>
    </w:p>
    <w:p w14:paraId="233FF0F2" w14:textId="31EEAC3B" w:rsidR="00E37619" w:rsidRPr="000F2F27" w:rsidRDefault="00863B15" w:rsidP="00263388">
      <w:pPr>
        <w:pStyle w:val="Akapitzlist"/>
        <w:numPr>
          <w:ilvl w:val="0"/>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Wniosek o konsultacje </w:t>
      </w:r>
      <w:r w:rsidR="000F2F27" w:rsidRPr="000F2F27">
        <w:rPr>
          <w:rFonts w:asciiTheme="minorHAnsi" w:hAnsiTheme="minorHAnsi" w:cstheme="minorHAnsi"/>
          <w:sz w:val="20"/>
          <w:szCs w:val="20"/>
        </w:rPr>
        <w:t xml:space="preserve">projektu </w:t>
      </w:r>
      <w:r w:rsidRPr="000F2F27">
        <w:rPr>
          <w:rFonts w:asciiTheme="minorHAnsi" w:hAnsiTheme="minorHAnsi" w:cstheme="minorHAnsi"/>
          <w:sz w:val="20"/>
          <w:szCs w:val="20"/>
        </w:rPr>
        <w:t xml:space="preserve">Strategii z </w:t>
      </w:r>
      <w:r w:rsidR="00051C04" w:rsidRPr="000F2F27">
        <w:rPr>
          <w:rFonts w:asciiTheme="minorHAnsi" w:hAnsiTheme="minorHAnsi" w:cstheme="minorHAnsi"/>
          <w:sz w:val="20"/>
          <w:szCs w:val="20"/>
        </w:rPr>
        <w:t>Dyrektor</w:t>
      </w:r>
      <w:r w:rsidRPr="000F2F27">
        <w:rPr>
          <w:rFonts w:asciiTheme="minorHAnsi" w:hAnsiTheme="minorHAnsi" w:cstheme="minorHAnsi"/>
          <w:sz w:val="20"/>
          <w:szCs w:val="20"/>
        </w:rPr>
        <w:t>em</w:t>
      </w:r>
      <w:r w:rsidR="00051C04" w:rsidRPr="000F2F27">
        <w:rPr>
          <w:rFonts w:asciiTheme="minorHAnsi" w:hAnsiTheme="minorHAnsi" w:cstheme="minorHAnsi"/>
          <w:sz w:val="20"/>
          <w:szCs w:val="20"/>
        </w:rPr>
        <w:t xml:space="preserve"> Regionalnego Zarządu Gospodarki Wodnej Państwowego Gospodarstwa Wodnego Wody Polskie</w:t>
      </w:r>
      <w:r w:rsidRPr="000F2F27">
        <w:rPr>
          <w:rFonts w:asciiTheme="minorHAnsi" w:hAnsiTheme="minorHAnsi" w:cstheme="minorHAnsi"/>
          <w:sz w:val="20"/>
          <w:szCs w:val="20"/>
        </w:rPr>
        <w:t xml:space="preserve"> w Rzeszowie oraz w Krakowie przekazany </w:t>
      </w:r>
      <w:r w:rsidR="00263388">
        <w:rPr>
          <w:rFonts w:asciiTheme="minorHAnsi" w:hAnsiTheme="minorHAnsi" w:cstheme="minorHAnsi"/>
          <w:sz w:val="20"/>
          <w:szCs w:val="20"/>
        </w:rPr>
        <w:t xml:space="preserve">został </w:t>
      </w:r>
      <w:r w:rsidRPr="000F2F27">
        <w:rPr>
          <w:rFonts w:asciiTheme="minorHAnsi" w:hAnsiTheme="minorHAnsi" w:cstheme="minorHAnsi"/>
          <w:sz w:val="20"/>
          <w:szCs w:val="20"/>
        </w:rPr>
        <w:t>w formie pisemnej przez Związek Gmin Dorzecza</w:t>
      </w:r>
      <w:r w:rsidR="009578A5" w:rsidRPr="000F2F27">
        <w:rPr>
          <w:rFonts w:asciiTheme="minorHAnsi" w:hAnsiTheme="minorHAnsi" w:cstheme="minorHAnsi"/>
          <w:sz w:val="20"/>
          <w:szCs w:val="20"/>
        </w:rPr>
        <w:t xml:space="preserve"> </w:t>
      </w:r>
      <w:r w:rsidRPr="000F2F27">
        <w:rPr>
          <w:rFonts w:asciiTheme="minorHAnsi" w:hAnsiTheme="minorHAnsi" w:cstheme="minorHAnsi"/>
          <w:sz w:val="20"/>
          <w:szCs w:val="20"/>
        </w:rPr>
        <w:t xml:space="preserve">Wisłoki (na podstawie wydanego pełnomocnictwa).  </w:t>
      </w:r>
    </w:p>
    <w:p w14:paraId="0F53BE7F" w14:textId="2C522EEC" w:rsidR="00B51D71" w:rsidRPr="000F2F27" w:rsidRDefault="00051C04" w:rsidP="00263388">
      <w:pPr>
        <w:pStyle w:val="Akapitzlist"/>
        <w:numPr>
          <w:ilvl w:val="0"/>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W </w:t>
      </w:r>
      <w:r w:rsidR="00E37619" w:rsidRPr="000F2F27">
        <w:rPr>
          <w:rFonts w:asciiTheme="minorHAnsi" w:hAnsiTheme="minorHAnsi" w:cstheme="minorHAnsi"/>
          <w:sz w:val="20"/>
          <w:szCs w:val="20"/>
        </w:rPr>
        <w:t>okresie trwania</w:t>
      </w:r>
      <w:r w:rsidRPr="000F2F27">
        <w:rPr>
          <w:rFonts w:asciiTheme="minorHAnsi" w:hAnsiTheme="minorHAnsi" w:cstheme="minorHAnsi"/>
          <w:sz w:val="20"/>
          <w:szCs w:val="20"/>
        </w:rPr>
        <w:t xml:space="preserve"> konsultacji zorganizowan</w:t>
      </w:r>
      <w:r w:rsidR="00E37619" w:rsidRPr="000F2F27">
        <w:rPr>
          <w:rFonts w:asciiTheme="minorHAnsi" w:hAnsiTheme="minorHAnsi" w:cstheme="minorHAnsi"/>
          <w:sz w:val="20"/>
          <w:szCs w:val="20"/>
        </w:rPr>
        <w:t>o</w:t>
      </w:r>
      <w:r w:rsidRPr="000F2F27">
        <w:rPr>
          <w:rFonts w:asciiTheme="minorHAnsi" w:hAnsiTheme="minorHAnsi" w:cstheme="minorHAnsi"/>
          <w:sz w:val="20"/>
          <w:szCs w:val="20"/>
        </w:rPr>
        <w:t xml:space="preserve"> 3 spotkania</w:t>
      </w:r>
      <w:r w:rsidR="00E37619" w:rsidRPr="000F2F27">
        <w:rPr>
          <w:rFonts w:asciiTheme="minorHAnsi" w:hAnsiTheme="minorHAnsi" w:cstheme="minorHAnsi"/>
          <w:sz w:val="20"/>
          <w:szCs w:val="20"/>
        </w:rPr>
        <w:t xml:space="preserve"> tj.: </w:t>
      </w:r>
    </w:p>
    <w:p w14:paraId="064AEFB7" w14:textId="77777777" w:rsidR="00B51D71" w:rsidRPr="000F2F27" w:rsidRDefault="00E37619" w:rsidP="00263388">
      <w:pPr>
        <w:pStyle w:val="Akapitzlist"/>
        <w:numPr>
          <w:ilvl w:val="1"/>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W dniu 20.06.2022 r. o godz. 15.00 spotkanie w formule online. </w:t>
      </w:r>
    </w:p>
    <w:p w14:paraId="333B3F5A" w14:textId="4867B26E" w:rsidR="00B51D71" w:rsidRPr="000F2F27" w:rsidRDefault="00E37619" w:rsidP="00263388">
      <w:pPr>
        <w:pStyle w:val="Akapitzlist"/>
        <w:numPr>
          <w:ilvl w:val="1"/>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W dniu 22.06.2022 r. o godz. 10.00 spotkanie stacjonarne i online (hybrydowe), które odbyło się w Jasielskim Domu Kultury, ul. Kołłątaja 1, 38-200 Jasło. Link do transmisji na żywo był dostępny na stronie </w:t>
      </w:r>
      <w:hyperlink r:id="rId11" w:history="1">
        <w:r w:rsidR="00B51D71" w:rsidRPr="000F2F27">
          <w:rPr>
            <w:rStyle w:val="Hipercze"/>
            <w:rFonts w:asciiTheme="minorHAnsi" w:hAnsiTheme="minorHAnsi" w:cstheme="minorHAnsi"/>
            <w:sz w:val="20"/>
            <w:szCs w:val="20"/>
          </w:rPr>
          <w:t>www.wisloka.pl</w:t>
        </w:r>
      </w:hyperlink>
      <w:r w:rsidR="00263388">
        <w:rPr>
          <w:rStyle w:val="Hipercze"/>
          <w:rFonts w:asciiTheme="minorHAnsi" w:hAnsiTheme="minorHAnsi" w:cstheme="minorHAnsi"/>
          <w:sz w:val="20"/>
          <w:szCs w:val="20"/>
        </w:rPr>
        <w:t>.</w:t>
      </w:r>
    </w:p>
    <w:p w14:paraId="2B7112E2" w14:textId="4340F9FA" w:rsidR="00051C04" w:rsidRPr="000F2F27" w:rsidRDefault="00E37619" w:rsidP="00263388">
      <w:pPr>
        <w:pStyle w:val="Akapitzlist"/>
        <w:numPr>
          <w:ilvl w:val="1"/>
          <w:numId w:val="5"/>
        </w:numPr>
        <w:shd w:val="clear" w:color="auto" w:fill="FFFFFF"/>
        <w:spacing w:after="0"/>
        <w:jc w:val="both"/>
        <w:textAlignment w:val="baseline"/>
        <w:rPr>
          <w:rFonts w:asciiTheme="minorHAnsi" w:hAnsiTheme="minorHAnsi" w:cstheme="minorHAnsi"/>
          <w:sz w:val="20"/>
          <w:szCs w:val="20"/>
        </w:rPr>
      </w:pPr>
      <w:r w:rsidRPr="000F2F27">
        <w:rPr>
          <w:rFonts w:asciiTheme="minorHAnsi" w:hAnsiTheme="minorHAnsi" w:cstheme="minorHAnsi"/>
          <w:sz w:val="20"/>
          <w:szCs w:val="20"/>
        </w:rPr>
        <w:t xml:space="preserve">W dniu 21.07.2022r. o godz. 13.00 spotkanie w formule online. W trakcie spotkań prezentowany był dokument, a obecni goście zaproszeni </w:t>
      </w:r>
      <w:r w:rsidR="00263388">
        <w:rPr>
          <w:rFonts w:asciiTheme="minorHAnsi" w:hAnsiTheme="minorHAnsi" w:cstheme="minorHAnsi"/>
          <w:sz w:val="20"/>
          <w:szCs w:val="20"/>
        </w:rPr>
        <w:t xml:space="preserve">zostali </w:t>
      </w:r>
      <w:r w:rsidRPr="000F2F27">
        <w:rPr>
          <w:rFonts w:asciiTheme="minorHAnsi" w:hAnsiTheme="minorHAnsi" w:cstheme="minorHAnsi"/>
          <w:sz w:val="20"/>
          <w:szCs w:val="20"/>
        </w:rPr>
        <w:t>do dyskusji</w:t>
      </w:r>
      <w:r w:rsidR="00850D17" w:rsidRPr="000F2F27">
        <w:rPr>
          <w:rFonts w:asciiTheme="minorHAnsi" w:hAnsiTheme="minorHAnsi" w:cstheme="minorHAnsi"/>
          <w:sz w:val="20"/>
          <w:szCs w:val="20"/>
        </w:rPr>
        <w:t xml:space="preserve">.  </w:t>
      </w:r>
    </w:p>
    <w:p w14:paraId="29AB7660" w14:textId="73EE7AB4" w:rsidR="00F35225" w:rsidRPr="000F2F27" w:rsidRDefault="009578A5" w:rsidP="00B51D71">
      <w:pPr>
        <w:shd w:val="clear" w:color="auto" w:fill="FFFFFF"/>
        <w:spacing w:after="0" w:line="240" w:lineRule="auto"/>
        <w:jc w:val="both"/>
        <w:textAlignment w:val="baseline"/>
        <w:rPr>
          <w:rFonts w:eastAsia="Times New Roman" w:cstheme="minorHAnsi"/>
          <w:sz w:val="20"/>
          <w:szCs w:val="20"/>
          <w:bdr w:val="none" w:sz="0" w:space="0" w:color="auto" w:frame="1"/>
          <w:lang w:eastAsia="pl-PL"/>
        </w:rPr>
      </w:pPr>
      <w:r w:rsidRPr="000F2F27">
        <w:rPr>
          <w:rFonts w:eastAsia="Times New Roman" w:cstheme="minorHAnsi"/>
          <w:sz w:val="20"/>
          <w:szCs w:val="20"/>
          <w:bdr w:val="none" w:sz="0" w:space="0" w:color="auto" w:frame="1"/>
          <w:lang w:eastAsia="pl-PL"/>
        </w:rPr>
        <w:t xml:space="preserve">Zgłoszone w procesie konsultacji uwagi i opinie poddane </w:t>
      </w:r>
      <w:r w:rsidR="003A115B">
        <w:rPr>
          <w:rFonts w:eastAsia="Times New Roman" w:cstheme="minorHAnsi"/>
          <w:sz w:val="20"/>
          <w:szCs w:val="20"/>
          <w:bdr w:val="none" w:sz="0" w:space="0" w:color="auto" w:frame="1"/>
          <w:lang w:eastAsia="pl-PL"/>
        </w:rPr>
        <w:t xml:space="preserve">zostały </w:t>
      </w:r>
      <w:r w:rsidRPr="000F2F27">
        <w:rPr>
          <w:rFonts w:eastAsia="Times New Roman" w:cstheme="minorHAnsi"/>
          <w:sz w:val="20"/>
          <w:szCs w:val="20"/>
          <w:bdr w:val="none" w:sz="0" w:space="0" w:color="auto" w:frame="1"/>
          <w:lang w:eastAsia="pl-PL"/>
        </w:rPr>
        <w:t>analizie, a uzasadnione</w:t>
      </w:r>
      <w:r w:rsidR="000F2F27" w:rsidRPr="000F2F27">
        <w:rPr>
          <w:rFonts w:eastAsia="Times New Roman" w:cstheme="minorHAnsi"/>
          <w:sz w:val="20"/>
          <w:szCs w:val="20"/>
          <w:bdr w:val="none" w:sz="0" w:space="0" w:color="auto" w:frame="1"/>
          <w:lang w:eastAsia="pl-PL"/>
        </w:rPr>
        <w:t xml:space="preserve"> </w:t>
      </w:r>
      <w:r w:rsidRPr="000F2F27">
        <w:rPr>
          <w:rFonts w:eastAsia="Times New Roman" w:cstheme="minorHAnsi"/>
          <w:sz w:val="20"/>
          <w:szCs w:val="20"/>
          <w:bdr w:val="none" w:sz="0" w:space="0" w:color="auto" w:frame="1"/>
          <w:lang w:eastAsia="pl-PL"/>
        </w:rPr>
        <w:t>uwzględnione</w:t>
      </w:r>
      <w:r w:rsidR="003A115B">
        <w:rPr>
          <w:rFonts w:eastAsia="Times New Roman" w:cstheme="minorHAnsi"/>
          <w:sz w:val="20"/>
          <w:szCs w:val="20"/>
          <w:bdr w:val="none" w:sz="0" w:space="0" w:color="auto" w:frame="1"/>
          <w:lang w:eastAsia="pl-PL"/>
        </w:rPr>
        <w:t xml:space="preserve"> zostaną </w:t>
      </w:r>
      <w:r w:rsidRPr="000F2F27">
        <w:rPr>
          <w:rFonts w:eastAsia="Times New Roman" w:cstheme="minorHAnsi"/>
          <w:sz w:val="20"/>
          <w:szCs w:val="20"/>
          <w:bdr w:val="none" w:sz="0" w:space="0" w:color="auto" w:frame="1"/>
          <w:lang w:eastAsia="pl-PL"/>
        </w:rPr>
        <w:t>w treści Strategii.</w:t>
      </w:r>
      <w:r w:rsidR="00F35225" w:rsidRPr="000F2F27">
        <w:rPr>
          <w:rFonts w:eastAsia="Times New Roman" w:cstheme="minorHAnsi"/>
          <w:sz w:val="20"/>
          <w:szCs w:val="20"/>
          <w:bdr w:val="none" w:sz="0" w:space="0" w:color="auto" w:frame="1"/>
          <w:lang w:eastAsia="pl-PL"/>
        </w:rPr>
        <w:t xml:space="preserve"> Poniżej w tabeli zaprezentowano zestawienie zgłoszonych uwagi/opinii wraz ze stanowiskiem oraz uzasadnieniem. </w:t>
      </w:r>
    </w:p>
    <w:p w14:paraId="3A3DA024" w14:textId="77777777" w:rsidR="00F35225" w:rsidRPr="00B51D71" w:rsidRDefault="00F35225">
      <w:pPr>
        <w:rPr>
          <w:rFonts w:eastAsia="Times New Roman" w:cstheme="minorHAnsi"/>
          <w:sz w:val="20"/>
          <w:szCs w:val="20"/>
          <w:lang w:eastAsia="pl-PL"/>
        </w:rPr>
      </w:pPr>
      <w:r w:rsidRPr="00B51D71">
        <w:rPr>
          <w:rFonts w:eastAsia="Times New Roman" w:cstheme="minorHAnsi"/>
          <w:sz w:val="20"/>
          <w:szCs w:val="20"/>
          <w:lang w:eastAsia="pl-PL"/>
        </w:rPr>
        <w:br w:type="page"/>
      </w:r>
    </w:p>
    <w:p w14:paraId="6935478A" w14:textId="77777777" w:rsidR="00F35225" w:rsidRPr="00B51D71" w:rsidRDefault="00F35225" w:rsidP="00B51D71">
      <w:pPr>
        <w:shd w:val="clear" w:color="auto" w:fill="FFFFFF"/>
        <w:spacing w:after="20" w:line="240" w:lineRule="auto"/>
        <w:ind w:left="142"/>
        <w:jc w:val="both"/>
        <w:textAlignment w:val="baseline"/>
        <w:rPr>
          <w:rFonts w:eastAsia="Times New Roman" w:cstheme="minorHAnsi"/>
          <w:sz w:val="20"/>
          <w:szCs w:val="20"/>
          <w:lang w:eastAsia="pl-PL"/>
        </w:rPr>
        <w:sectPr w:rsidR="00F35225" w:rsidRPr="00B51D71" w:rsidSect="00B51D71">
          <w:footerReference w:type="default" r:id="rId12"/>
          <w:pgSz w:w="11906" w:h="16838"/>
          <w:pgMar w:top="568" w:right="1417" w:bottom="1417" w:left="709" w:header="708" w:footer="708" w:gutter="0"/>
          <w:cols w:space="708"/>
          <w:docGrid w:linePitch="360"/>
        </w:sectPr>
      </w:pPr>
    </w:p>
    <w:tbl>
      <w:tblPr>
        <w:tblStyle w:val="Tabela-Siatka"/>
        <w:tblW w:w="5522" w:type="pct"/>
        <w:tblInd w:w="-856" w:type="dxa"/>
        <w:tblLayout w:type="fixed"/>
        <w:tblLook w:val="04A0" w:firstRow="1" w:lastRow="0" w:firstColumn="1" w:lastColumn="0" w:noHBand="0" w:noVBand="1"/>
      </w:tblPr>
      <w:tblGrid>
        <w:gridCol w:w="562"/>
        <w:gridCol w:w="1363"/>
        <w:gridCol w:w="1088"/>
        <w:gridCol w:w="6268"/>
        <w:gridCol w:w="6172"/>
      </w:tblGrid>
      <w:tr w:rsidR="00973D82" w:rsidRPr="00B51D71" w14:paraId="61F50D01" w14:textId="77777777" w:rsidTr="00B51D71">
        <w:trPr>
          <w:cantSplit/>
          <w:trHeight w:val="20"/>
          <w:tblHeader/>
        </w:trPr>
        <w:tc>
          <w:tcPr>
            <w:tcW w:w="182" w:type="pct"/>
            <w:vAlign w:val="center"/>
          </w:tcPr>
          <w:p w14:paraId="3C065765" w14:textId="77777777" w:rsidR="00F35225" w:rsidRPr="00B51D71" w:rsidRDefault="00F35225" w:rsidP="002B30E0">
            <w:pPr>
              <w:ind w:firstLine="0"/>
              <w:jc w:val="center"/>
              <w:rPr>
                <w:rFonts w:cstheme="minorHAnsi"/>
                <w:b/>
                <w:bCs/>
                <w:sz w:val="20"/>
                <w:szCs w:val="20"/>
              </w:rPr>
            </w:pPr>
            <w:r w:rsidRPr="00B51D71">
              <w:rPr>
                <w:rFonts w:cstheme="minorHAnsi"/>
                <w:b/>
                <w:bCs/>
                <w:sz w:val="20"/>
                <w:szCs w:val="20"/>
              </w:rPr>
              <w:lastRenderedPageBreak/>
              <w:t>L.p.</w:t>
            </w:r>
          </w:p>
        </w:tc>
        <w:tc>
          <w:tcPr>
            <w:tcW w:w="441" w:type="pct"/>
            <w:vAlign w:val="center"/>
          </w:tcPr>
          <w:p w14:paraId="5A53847F" w14:textId="77777777" w:rsidR="00F35225" w:rsidRPr="00B51D71" w:rsidRDefault="00F35225" w:rsidP="002B30E0">
            <w:pPr>
              <w:ind w:firstLine="0"/>
              <w:jc w:val="center"/>
              <w:rPr>
                <w:rFonts w:cstheme="minorHAnsi"/>
                <w:b/>
                <w:bCs/>
                <w:sz w:val="20"/>
                <w:szCs w:val="20"/>
              </w:rPr>
            </w:pPr>
            <w:r w:rsidRPr="00B51D71">
              <w:rPr>
                <w:rFonts w:cstheme="minorHAnsi"/>
                <w:b/>
                <w:bCs/>
                <w:sz w:val="20"/>
                <w:szCs w:val="20"/>
              </w:rPr>
              <w:t>Zgłaszający</w:t>
            </w:r>
          </w:p>
        </w:tc>
        <w:tc>
          <w:tcPr>
            <w:tcW w:w="352" w:type="pct"/>
            <w:vAlign w:val="center"/>
          </w:tcPr>
          <w:p w14:paraId="510EEEED" w14:textId="77777777" w:rsidR="00F35225" w:rsidRPr="00B51D71" w:rsidRDefault="00F35225" w:rsidP="002B30E0">
            <w:pPr>
              <w:ind w:firstLine="0"/>
              <w:jc w:val="center"/>
              <w:rPr>
                <w:rFonts w:cstheme="minorHAnsi"/>
                <w:b/>
                <w:bCs/>
                <w:sz w:val="20"/>
                <w:szCs w:val="20"/>
              </w:rPr>
            </w:pPr>
            <w:r w:rsidRPr="00B51D71">
              <w:rPr>
                <w:rFonts w:cstheme="minorHAnsi"/>
                <w:b/>
                <w:bCs/>
                <w:sz w:val="20"/>
                <w:szCs w:val="20"/>
              </w:rPr>
              <w:t>Nr str.</w:t>
            </w:r>
          </w:p>
        </w:tc>
        <w:tc>
          <w:tcPr>
            <w:tcW w:w="2028" w:type="pct"/>
            <w:vAlign w:val="center"/>
          </w:tcPr>
          <w:p w14:paraId="44F0DE6D" w14:textId="77777777" w:rsidR="00F35225" w:rsidRPr="00B51D71" w:rsidRDefault="00F35225" w:rsidP="002B30E0">
            <w:pPr>
              <w:ind w:firstLine="0"/>
              <w:jc w:val="center"/>
              <w:rPr>
                <w:rFonts w:cstheme="minorHAnsi"/>
                <w:b/>
                <w:bCs/>
                <w:sz w:val="20"/>
                <w:szCs w:val="20"/>
              </w:rPr>
            </w:pPr>
            <w:r w:rsidRPr="00B51D71">
              <w:rPr>
                <w:rFonts w:cstheme="minorHAnsi"/>
                <w:b/>
                <w:bCs/>
                <w:sz w:val="20"/>
                <w:szCs w:val="20"/>
              </w:rPr>
              <w:t>Treść uwagi/opinii</w:t>
            </w:r>
          </w:p>
        </w:tc>
        <w:tc>
          <w:tcPr>
            <w:tcW w:w="1998" w:type="pct"/>
            <w:vAlign w:val="center"/>
          </w:tcPr>
          <w:p w14:paraId="6791DDC0" w14:textId="77777777" w:rsidR="00F35225" w:rsidRPr="00B51D71" w:rsidRDefault="00F35225" w:rsidP="002B30E0">
            <w:pPr>
              <w:ind w:firstLine="0"/>
              <w:jc w:val="center"/>
              <w:rPr>
                <w:rFonts w:cstheme="minorHAnsi"/>
                <w:b/>
                <w:bCs/>
                <w:sz w:val="20"/>
                <w:szCs w:val="20"/>
              </w:rPr>
            </w:pPr>
            <w:r w:rsidRPr="00B51D71">
              <w:rPr>
                <w:rFonts w:cstheme="minorHAnsi"/>
                <w:b/>
                <w:bCs/>
                <w:sz w:val="20"/>
                <w:szCs w:val="20"/>
              </w:rPr>
              <w:t>Rozstrzygnięcie wraz z uzasadnieniem</w:t>
            </w:r>
          </w:p>
        </w:tc>
      </w:tr>
      <w:tr w:rsidR="00973D82" w:rsidRPr="00B51D71" w14:paraId="132BB523" w14:textId="77777777" w:rsidTr="00B51D71">
        <w:trPr>
          <w:cantSplit/>
          <w:trHeight w:val="20"/>
        </w:trPr>
        <w:tc>
          <w:tcPr>
            <w:tcW w:w="182" w:type="pct"/>
          </w:tcPr>
          <w:p w14:paraId="1100BBAE"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1.</w:t>
            </w:r>
          </w:p>
        </w:tc>
        <w:tc>
          <w:tcPr>
            <w:tcW w:w="441" w:type="pct"/>
            <w:vMerge w:val="restart"/>
          </w:tcPr>
          <w:p w14:paraId="642CAD4B"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Państwowe Gospodarstwo Wodne Wody Polskie Regionalny Zarząd Gospodarki Wodnej w Krakowie</w:t>
            </w:r>
          </w:p>
        </w:tc>
        <w:tc>
          <w:tcPr>
            <w:tcW w:w="352" w:type="pct"/>
          </w:tcPr>
          <w:p w14:paraId="21010119"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r w:rsidRPr="00B51D71">
              <w:rPr>
                <w:rFonts w:eastAsia="Times New Roman" w:cstheme="minorHAnsi"/>
                <w:sz w:val="20"/>
                <w:szCs w:val="20"/>
                <w:lang w:eastAsia="pl-PL"/>
              </w:rPr>
              <w:br/>
              <w:t>wskazania</w:t>
            </w:r>
          </w:p>
        </w:tc>
        <w:tc>
          <w:tcPr>
            <w:tcW w:w="2028" w:type="pct"/>
          </w:tcPr>
          <w:p w14:paraId="3E93D04F"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Na przedmiotowym terenie objętym projektem strategii występują również obszary, na których prawdopodobieństwo wystąpienia powodzi jest niskie i wynosi raz na 500 lat (Q0,2%) od Wisły i Brnia oraz obszary narażone na zalanie w przypadku całkowitego zniszczenia wału przeciwpowodziowego od Wisły. W przedłożonym projekcie strategii brak jest informacji w zakresie ww. obszarów.</w:t>
            </w:r>
          </w:p>
        </w:tc>
        <w:tc>
          <w:tcPr>
            <w:tcW w:w="1998" w:type="pct"/>
          </w:tcPr>
          <w:p w14:paraId="47AB3154"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0D903A10" w14:textId="77777777" w:rsidR="00F35225" w:rsidRPr="00B51D71" w:rsidRDefault="00F35225" w:rsidP="00F35225">
            <w:pPr>
              <w:pStyle w:val="Akapitzlist"/>
              <w:numPr>
                <w:ilvl w:val="0"/>
                <w:numId w:val="6"/>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 xml:space="preserve">Państwowe Gospodarstwo Wodne Wody Polskie Regionalny Zarząd Gospodarki Wodnej w Krakowie wskazuje, że podmiotem właściwym do wydania opinii jest Państwowe Gospodarstwo Wodne Wody Polskie Regionalny Zarząd Gospodarki Wodnej w Rzeszowie, które pozytywnie opiniuje Strategię. </w:t>
            </w:r>
          </w:p>
          <w:p w14:paraId="7110236B" w14:textId="1EE63ABD" w:rsidR="00F35225" w:rsidRPr="00B51D71" w:rsidRDefault="00F35225" w:rsidP="00F35225">
            <w:pPr>
              <w:pStyle w:val="Akapitzlist"/>
              <w:numPr>
                <w:ilvl w:val="0"/>
                <w:numId w:val="6"/>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 xml:space="preserve">Odnosząc się do uwagi należy stwierdzić, że dotyczy ona dokumentu pn. „Diagnoza społeczna, gospodarcza i przestrzenna obszaru realizacji strategii Dorzecza Wisłoki wraz z wnioskami”. Zgodnie z postanowieniami Ustawy z dnia 8 marca 1990 r .o samorządzie gminnym strategia ponadlokalna zawiera „wnioski z diagnozy, o której mowa w art. 10a ust. 1 ustawy z dnia 6 grudnia 2006 r. o zasadach prowadzenia polityki rozwoju (Dz. U. z 2019 r. poz. 1295 i 2020 oraz z 2020 r. poz. 1378), przygotowanej na potrzeby tej strategii”. W konsekwencji uwaga nie może być uwzględniona. </w:t>
            </w:r>
          </w:p>
        </w:tc>
      </w:tr>
      <w:tr w:rsidR="00973D82" w:rsidRPr="00B51D71" w14:paraId="029891A8" w14:textId="77777777" w:rsidTr="00B51D71">
        <w:trPr>
          <w:cantSplit/>
          <w:trHeight w:val="20"/>
        </w:trPr>
        <w:tc>
          <w:tcPr>
            <w:tcW w:w="182" w:type="pct"/>
          </w:tcPr>
          <w:p w14:paraId="0ED0BD89"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1a</w:t>
            </w:r>
          </w:p>
        </w:tc>
        <w:tc>
          <w:tcPr>
            <w:tcW w:w="441" w:type="pct"/>
            <w:vMerge/>
          </w:tcPr>
          <w:p w14:paraId="7903DE9F" w14:textId="77777777" w:rsidR="00F35225" w:rsidRPr="00B51D71" w:rsidRDefault="00F35225" w:rsidP="002B30E0">
            <w:pPr>
              <w:ind w:firstLine="0"/>
              <w:jc w:val="center"/>
              <w:rPr>
                <w:rFonts w:eastAsia="Times New Roman" w:cstheme="minorHAnsi"/>
                <w:sz w:val="20"/>
                <w:szCs w:val="20"/>
                <w:lang w:eastAsia="pl-PL"/>
              </w:rPr>
            </w:pPr>
          </w:p>
        </w:tc>
        <w:tc>
          <w:tcPr>
            <w:tcW w:w="352" w:type="pct"/>
          </w:tcPr>
          <w:p w14:paraId="2480804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70C53F9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5A26497E"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zwracamy uwagę, iż oprócz kwestii obszarów szczególnego zagrożenia powodzią, zgodnie z art. 326 ustawy z dnia 20 lipca 2017r. Prawo wodne (t.j. Dz.U. z 2021r., poz. 2233 ze zm.), w strategii rozwoju województwa, planach zagospodarowania przestrzennego województwa, strategii rozwoju gminy, strategii rozwoju ponadlokalnego, studium uwarunkowań i kierunków zagospodarowania przestrzennego gminy oraz w miejscowych planach zagospodarowania przestrzennego, uwzględnia się m.in. ustalenia dokumentów planistycznych, o których mowa w art. 315 pkt 1-3 ww. ustawy tj. planu zarządzania ryzykiem powodziowym, planów gospodarowania wodami na obszarze dorzecza, czy też planu przeciwdziałania skutkom suszy.</w:t>
            </w:r>
          </w:p>
        </w:tc>
        <w:tc>
          <w:tcPr>
            <w:tcW w:w="1998" w:type="pct"/>
          </w:tcPr>
          <w:p w14:paraId="09DE5080"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30C2FD4B" w14:textId="77777777" w:rsidR="00F35225" w:rsidRPr="00B51D71" w:rsidRDefault="00F35225" w:rsidP="00F35225">
            <w:pPr>
              <w:pStyle w:val="Akapitzlist"/>
              <w:numPr>
                <w:ilvl w:val="0"/>
                <w:numId w:val="7"/>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 xml:space="preserve">Państwowe Gospodarstwo Wodne Wody Polskie Regionalny Zarząd Gospodarki Wodnej w Krakowie wskazuje, że podmiotem właściwym do wydania opinii jest Państwowe Gospodarstwo Wodne Wody Polskie Regionalny Zarząd Gospodarki Wodnej w Rzeszowie, które pozytywnie opiniuje Strategię. </w:t>
            </w:r>
          </w:p>
          <w:p w14:paraId="437BE1F7" w14:textId="34FD8FAD" w:rsidR="00F35225" w:rsidRPr="00B51D71" w:rsidRDefault="00F35225" w:rsidP="00F35225">
            <w:pPr>
              <w:numPr>
                <w:ilvl w:val="0"/>
                <w:numId w:val="7"/>
              </w:numPr>
              <w:ind w:left="417"/>
              <w:jc w:val="left"/>
              <w:rPr>
                <w:rFonts w:eastAsia="Times New Roman" w:cstheme="minorHAnsi"/>
                <w:sz w:val="20"/>
                <w:szCs w:val="20"/>
                <w:lang w:eastAsia="pl-PL"/>
              </w:rPr>
            </w:pPr>
            <w:r w:rsidRPr="00B51D71">
              <w:rPr>
                <w:rFonts w:eastAsia="Times New Roman" w:cstheme="minorHAnsi"/>
                <w:sz w:val="20"/>
                <w:szCs w:val="20"/>
                <w:lang w:eastAsia="pl-PL"/>
              </w:rPr>
              <w:t xml:space="preserve">Odnosząc się do merytorycznej treści uwagi – strategia w opisie Kierunku </w:t>
            </w:r>
            <w:r w:rsidRPr="00B51D71">
              <w:rPr>
                <w:rFonts w:eastAsia="Times New Roman" w:cstheme="minorHAnsi"/>
                <w:i/>
                <w:iCs/>
                <w:sz w:val="20"/>
                <w:szCs w:val="20"/>
                <w:lang w:eastAsia="pl-PL"/>
              </w:rPr>
              <w:t>Działania 3.1. Ochrona przeciwpowodziowa „Dorzecza Wisłoki” i zwiększenie odporności obszaru na skutki zmian klimatu</w:t>
            </w:r>
            <w:r w:rsidRPr="00B51D71">
              <w:rPr>
                <w:rFonts w:eastAsia="Times New Roman" w:cstheme="minorHAnsi"/>
                <w:sz w:val="20"/>
                <w:szCs w:val="20"/>
                <w:lang w:eastAsia="pl-PL"/>
              </w:rPr>
              <w:t xml:space="preserve"> zostanie uzupełniona o odniesienie do planu zarządzania ryzykiem powodziowym oraz planu przeciwdziałania skutkom suszy </w:t>
            </w:r>
          </w:p>
        </w:tc>
      </w:tr>
      <w:tr w:rsidR="00973D82" w:rsidRPr="00B51D71" w14:paraId="10E4E0D0" w14:textId="77777777" w:rsidTr="00B51D71">
        <w:trPr>
          <w:cantSplit/>
          <w:trHeight w:val="20"/>
        </w:trPr>
        <w:tc>
          <w:tcPr>
            <w:tcW w:w="182" w:type="pct"/>
          </w:tcPr>
          <w:p w14:paraId="3218941A"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1b</w:t>
            </w:r>
          </w:p>
        </w:tc>
        <w:tc>
          <w:tcPr>
            <w:tcW w:w="441" w:type="pct"/>
            <w:vMerge/>
          </w:tcPr>
          <w:p w14:paraId="73F67A84" w14:textId="77777777" w:rsidR="00F35225" w:rsidRPr="00B51D71" w:rsidRDefault="00F35225" w:rsidP="002B30E0">
            <w:pPr>
              <w:ind w:firstLine="0"/>
              <w:jc w:val="center"/>
              <w:rPr>
                <w:rFonts w:eastAsia="Times New Roman" w:cstheme="minorHAnsi"/>
                <w:sz w:val="20"/>
                <w:szCs w:val="20"/>
                <w:lang w:eastAsia="pl-PL"/>
              </w:rPr>
            </w:pPr>
          </w:p>
        </w:tc>
        <w:tc>
          <w:tcPr>
            <w:tcW w:w="352" w:type="pct"/>
          </w:tcPr>
          <w:p w14:paraId="51C71F5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5F099947"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0E4A28BD" w14:textId="10FFCD90"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W przedłożonym projekcie strategii nie odniesiono się również do ustaleń wynikających z strategicznego dokumentem służącemu właściwemu zarządzaniu ryzykiem tj. Planu Zarządzania Ryzykiem Powodziowym przyjętego na mocy rozporządzenia Rady Ministrów z dnia 18 października 2016 r. w sprawie przyjęcia Planu zarządzania ryzykiem powodziowym dla obszaru dorzecza Wisły (Dz. U. z 2016r. poz. 1841), i zachowującego ważność zgodnie z art. 555 ust. 2 Ustawy z dnia 20 lipca 2017r. Prawo wodne.</w:t>
            </w:r>
            <w:r w:rsidR="003A115B">
              <w:rPr>
                <w:rFonts w:eastAsia="Times New Roman" w:cstheme="minorHAnsi"/>
                <w:sz w:val="20"/>
                <w:szCs w:val="20"/>
                <w:lang w:eastAsia="pl-PL"/>
              </w:rPr>
              <w:t xml:space="preserve"> </w:t>
            </w:r>
            <w:r w:rsidRPr="00B51D71">
              <w:rPr>
                <w:rFonts w:eastAsia="Times New Roman" w:cstheme="minorHAnsi"/>
                <w:sz w:val="20"/>
                <w:szCs w:val="20"/>
                <w:lang w:eastAsia="pl-PL"/>
              </w:rPr>
              <w:t>Zdaniem tut. Zarządu informacje w zakresie PZRP powinny zostać zamieszczone w opiniowanym projekcie strategii.</w:t>
            </w:r>
          </w:p>
        </w:tc>
        <w:tc>
          <w:tcPr>
            <w:tcW w:w="1998" w:type="pct"/>
          </w:tcPr>
          <w:p w14:paraId="4E099C5F"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61C0CDD0" w14:textId="77777777" w:rsidR="00F35225" w:rsidRPr="00B51D71" w:rsidRDefault="00F35225" w:rsidP="00F35225">
            <w:pPr>
              <w:pStyle w:val="Akapitzlist"/>
              <w:numPr>
                <w:ilvl w:val="0"/>
                <w:numId w:val="10"/>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 xml:space="preserve">Państwowe Gospodarstwo Wodne Wody Polskie Regionalny Zarząd Gospodarki Wodnej w Krakowie wskazuje, że podmiotem właściwym do wydania opinii jest Państwowe Gospodarstwo Wodne Wody Polskie Regionalny Zarząd Gospodarki Wodnej w Rzeszowie, które pozytywnie opiniuje Strategię.  </w:t>
            </w:r>
          </w:p>
          <w:p w14:paraId="3CA49495" w14:textId="407DCBBB" w:rsidR="00F35225" w:rsidRPr="00B51D71" w:rsidRDefault="00F35225" w:rsidP="00F35225">
            <w:pPr>
              <w:pStyle w:val="Akapitzlist"/>
              <w:numPr>
                <w:ilvl w:val="0"/>
                <w:numId w:val="10"/>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 xml:space="preserve">Odnosząc się do merytorycznej treści uwagi – strategia w opisie </w:t>
            </w:r>
            <w:r w:rsidRPr="00B51D71">
              <w:rPr>
                <w:rFonts w:asciiTheme="minorHAnsi" w:hAnsiTheme="minorHAnsi" w:cstheme="minorHAnsi"/>
                <w:i/>
                <w:iCs/>
                <w:sz w:val="20"/>
                <w:szCs w:val="20"/>
              </w:rPr>
              <w:t>Kierunku Działania 3.1. Ochrona przeciwpowodziowa „Dorzecza Wisłoki” i zwiększenie odporności obszaru na skutki zmian klimatu</w:t>
            </w:r>
            <w:r w:rsidRPr="00B51D71">
              <w:rPr>
                <w:rFonts w:asciiTheme="minorHAnsi" w:hAnsiTheme="minorHAnsi" w:cstheme="minorHAnsi"/>
                <w:sz w:val="20"/>
                <w:szCs w:val="20"/>
              </w:rPr>
              <w:t xml:space="preserve"> zostanie uzupełniona o odniesienie do planu zarządzania ryzykiem powodziowym </w:t>
            </w:r>
          </w:p>
        </w:tc>
      </w:tr>
      <w:tr w:rsidR="00973D82" w:rsidRPr="00B51D71" w14:paraId="302367AF" w14:textId="77777777" w:rsidTr="00B51D71">
        <w:trPr>
          <w:cantSplit/>
          <w:trHeight w:val="20"/>
        </w:trPr>
        <w:tc>
          <w:tcPr>
            <w:tcW w:w="182" w:type="pct"/>
          </w:tcPr>
          <w:p w14:paraId="37914662"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lastRenderedPageBreak/>
              <w:t>1c</w:t>
            </w:r>
          </w:p>
        </w:tc>
        <w:tc>
          <w:tcPr>
            <w:tcW w:w="441" w:type="pct"/>
            <w:vMerge/>
          </w:tcPr>
          <w:p w14:paraId="5B45E7A1" w14:textId="77777777" w:rsidR="00F35225" w:rsidRPr="00B51D71" w:rsidRDefault="00F35225" w:rsidP="002B30E0">
            <w:pPr>
              <w:ind w:firstLine="0"/>
              <w:jc w:val="center"/>
              <w:rPr>
                <w:rFonts w:eastAsia="Times New Roman" w:cstheme="minorHAnsi"/>
                <w:sz w:val="20"/>
                <w:szCs w:val="20"/>
                <w:lang w:eastAsia="pl-PL"/>
              </w:rPr>
            </w:pPr>
          </w:p>
        </w:tc>
        <w:tc>
          <w:tcPr>
            <w:tcW w:w="352" w:type="pct"/>
          </w:tcPr>
          <w:p w14:paraId="23D3F70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15B7FAAB"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4E183E06"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Ponadto w projekcie strategii brak jest jakiegokolwiek odniesienia do takich dokumentów planistycznych jak: Plany gospodarowania wodami na obszarach dorzeczy czy aktualizacja Programu wodnośrodowiskowego kraju (aPWŚK). W związku z powyższym tekst strategii należy uzupełnić w powyższym zakresie – przykładowo w postaci zamieszczenia dwóch oddzielnych tabel, odpowiednio dedykowanych JCWP i JCWPd, w których powinny znaleźć się następujące informacje:</w:t>
            </w:r>
          </w:p>
          <w:tbl>
            <w:tblPr>
              <w:tblW w:w="609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9"/>
              <w:gridCol w:w="1219"/>
              <w:gridCol w:w="1219"/>
              <w:gridCol w:w="1219"/>
              <w:gridCol w:w="1219"/>
            </w:tblGrid>
            <w:tr w:rsidR="00973D82" w:rsidRPr="00B51D71" w14:paraId="78318A51" w14:textId="77777777" w:rsidTr="002B30E0">
              <w:trPr>
                <w:trHeight w:val="20"/>
              </w:trPr>
              <w:tc>
                <w:tcPr>
                  <w:tcW w:w="1219" w:type="dxa"/>
                  <w:shd w:val="clear" w:color="000000" w:fill="BFBFBF"/>
                  <w:vAlign w:val="center"/>
                  <w:hideMark/>
                </w:tcPr>
                <w:p w14:paraId="13104619"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Kod JCWP (wody powierzchniowe)</w:t>
                  </w:r>
                </w:p>
              </w:tc>
              <w:tc>
                <w:tcPr>
                  <w:tcW w:w="1219" w:type="dxa"/>
                  <w:shd w:val="clear" w:color="000000" w:fill="BFBFBF"/>
                  <w:vAlign w:val="center"/>
                  <w:hideMark/>
                </w:tcPr>
                <w:p w14:paraId="725DDF5B"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Nazwa JCWP</w:t>
                  </w:r>
                </w:p>
              </w:tc>
              <w:tc>
                <w:tcPr>
                  <w:tcW w:w="1219" w:type="dxa"/>
                  <w:shd w:val="clear" w:color="000000" w:fill="BFBFBF"/>
                  <w:vAlign w:val="center"/>
                  <w:hideMark/>
                </w:tcPr>
                <w:p w14:paraId="164EA1B1"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Stan ogólny JCWP</w:t>
                  </w:r>
                </w:p>
              </w:tc>
              <w:tc>
                <w:tcPr>
                  <w:tcW w:w="1219" w:type="dxa"/>
                  <w:shd w:val="clear" w:color="000000" w:fill="BFBFBF"/>
                  <w:vAlign w:val="center"/>
                  <w:hideMark/>
                </w:tcPr>
                <w:p w14:paraId="619DD20C"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Przypisane cele środowiskowe</w:t>
                  </w:r>
                </w:p>
              </w:tc>
              <w:tc>
                <w:tcPr>
                  <w:tcW w:w="1219" w:type="dxa"/>
                  <w:shd w:val="clear" w:color="000000" w:fill="BFBFBF"/>
                  <w:vAlign w:val="center"/>
                  <w:hideMark/>
                </w:tcPr>
                <w:p w14:paraId="7E9012E3"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Działania przypisane w Programie wodnośrodowiskowym kraju</w:t>
                  </w:r>
                </w:p>
              </w:tc>
            </w:tr>
            <w:tr w:rsidR="00973D82" w:rsidRPr="00B51D71" w14:paraId="17B5B26D" w14:textId="77777777" w:rsidTr="002B30E0">
              <w:trPr>
                <w:trHeight w:val="20"/>
              </w:trPr>
              <w:tc>
                <w:tcPr>
                  <w:tcW w:w="6095" w:type="dxa"/>
                  <w:gridSpan w:val="5"/>
                  <w:shd w:val="clear" w:color="auto" w:fill="auto"/>
                  <w:vAlign w:val="center"/>
                  <w:hideMark/>
                </w:tcPr>
                <w:p w14:paraId="1F944F5F"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Powyżej przedstawiono wygląd przykładowego rekordu tabeli</w:t>
                  </w:r>
                </w:p>
              </w:tc>
            </w:tr>
            <w:tr w:rsidR="00973D82" w:rsidRPr="00B51D71" w14:paraId="652122C5" w14:textId="77777777" w:rsidTr="002B30E0">
              <w:trPr>
                <w:trHeight w:val="20"/>
              </w:trPr>
              <w:tc>
                <w:tcPr>
                  <w:tcW w:w="1219" w:type="dxa"/>
                  <w:shd w:val="clear" w:color="auto" w:fill="auto"/>
                  <w:vAlign w:val="center"/>
                  <w:hideMark/>
                </w:tcPr>
                <w:p w14:paraId="308ABAF1"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553283FE"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0DFE9C51"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7BBF7842"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7B757BF3"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aPWŚK</w:t>
                  </w:r>
                </w:p>
              </w:tc>
            </w:tr>
          </w:tbl>
          <w:p w14:paraId="433FC565" w14:textId="77777777" w:rsidR="00F35225" w:rsidRPr="00B51D71" w:rsidRDefault="00F35225" w:rsidP="002B30E0">
            <w:pPr>
              <w:ind w:firstLine="0"/>
              <w:jc w:val="left"/>
              <w:rPr>
                <w:rFonts w:eastAsia="Times New Roman" w:cstheme="minorHAnsi"/>
                <w:sz w:val="20"/>
                <w:szCs w:val="20"/>
                <w:lang w:eastAsia="pl-PL"/>
              </w:rPr>
            </w:pPr>
          </w:p>
          <w:tbl>
            <w:tblPr>
              <w:tblW w:w="609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9"/>
              <w:gridCol w:w="1219"/>
              <w:gridCol w:w="1219"/>
              <w:gridCol w:w="1219"/>
              <w:gridCol w:w="1219"/>
            </w:tblGrid>
            <w:tr w:rsidR="00973D82" w:rsidRPr="00B51D71" w14:paraId="7A0C6F46" w14:textId="77777777" w:rsidTr="002B30E0">
              <w:trPr>
                <w:trHeight w:val="20"/>
              </w:trPr>
              <w:tc>
                <w:tcPr>
                  <w:tcW w:w="1219" w:type="dxa"/>
                  <w:shd w:val="clear" w:color="000000" w:fill="BFBFBF"/>
                  <w:vAlign w:val="center"/>
                  <w:hideMark/>
                </w:tcPr>
                <w:p w14:paraId="008487C4"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Kod JCWPd (wody podziemne)</w:t>
                  </w:r>
                </w:p>
              </w:tc>
              <w:tc>
                <w:tcPr>
                  <w:tcW w:w="1219" w:type="dxa"/>
                  <w:shd w:val="clear" w:color="000000" w:fill="BFBFBF"/>
                  <w:vAlign w:val="center"/>
                  <w:hideMark/>
                </w:tcPr>
                <w:p w14:paraId="77591608"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 xml:space="preserve">Nazwa JCWPd </w:t>
                  </w:r>
                </w:p>
              </w:tc>
              <w:tc>
                <w:tcPr>
                  <w:tcW w:w="1219" w:type="dxa"/>
                  <w:shd w:val="clear" w:color="000000" w:fill="BFBFBF"/>
                  <w:vAlign w:val="center"/>
                  <w:hideMark/>
                </w:tcPr>
                <w:p w14:paraId="2FAF3B14"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Stan ogólny JCWPd</w:t>
                  </w:r>
                </w:p>
              </w:tc>
              <w:tc>
                <w:tcPr>
                  <w:tcW w:w="1219" w:type="dxa"/>
                  <w:shd w:val="clear" w:color="000000" w:fill="BFBFBF"/>
                  <w:vAlign w:val="center"/>
                  <w:hideMark/>
                </w:tcPr>
                <w:p w14:paraId="707A2B2E"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Przypisane cele</w:t>
                  </w:r>
                  <w:r w:rsidRPr="00B51D71">
                    <w:rPr>
                      <w:rFonts w:eastAsia="Times New Roman" w:cstheme="minorHAnsi"/>
                      <w:b/>
                      <w:bCs/>
                      <w:sz w:val="20"/>
                      <w:szCs w:val="20"/>
                      <w:lang w:eastAsia="pl-PL"/>
                    </w:rPr>
                    <w:br/>
                    <w:t>środowiskowe</w:t>
                  </w:r>
                </w:p>
              </w:tc>
              <w:tc>
                <w:tcPr>
                  <w:tcW w:w="1219" w:type="dxa"/>
                  <w:shd w:val="clear" w:color="000000" w:fill="BFBFBF"/>
                  <w:vAlign w:val="center"/>
                  <w:hideMark/>
                </w:tcPr>
                <w:p w14:paraId="19D77767"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Działania przypisane w Programie wodnośrodowiskowym kraju</w:t>
                  </w:r>
                </w:p>
              </w:tc>
            </w:tr>
            <w:tr w:rsidR="00973D82" w:rsidRPr="00B51D71" w14:paraId="41874D75" w14:textId="77777777" w:rsidTr="002B30E0">
              <w:trPr>
                <w:trHeight w:val="20"/>
              </w:trPr>
              <w:tc>
                <w:tcPr>
                  <w:tcW w:w="6095" w:type="dxa"/>
                  <w:gridSpan w:val="5"/>
                  <w:shd w:val="clear" w:color="auto" w:fill="auto"/>
                  <w:vAlign w:val="center"/>
                  <w:hideMark/>
                </w:tcPr>
                <w:p w14:paraId="4A15CDDC" w14:textId="77777777" w:rsidR="00F35225" w:rsidRPr="00B51D71" w:rsidRDefault="00F35225" w:rsidP="002B30E0">
                  <w:pPr>
                    <w:spacing w:before="20" w:after="20" w:line="240" w:lineRule="auto"/>
                    <w:jc w:val="center"/>
                    <w:rPr>
                      <w:rFonts w:eastAsia="Times New Roman" w:cstheme="minorHAnsi"/>
                      <w:b/>
                      <w:bCs/>
                      <w:sz w:val="20"/>
                      <w:szCs w:val="20"/>
                      <w:lang w:eastAsia="pl-PL"/>
                    </w:rPr>
                  </w:pPr>
                  <w:r w:rsidRPr="00B51D71">
                    <w:rPr>
                      <w:rFonts w:eastAsia="Times New Roman" w:cstheme="minorHAnsi"/>
                      <w:b/>
                      <w:bCs/>
                      <w:sz w:val="20"/>
                      <w:szCs w:val="20"/>
                      <w:lang w:eastAsia="pl-PL"/>
                    </w:rPr>
                    <w:t>Powyżej przedstawiono wygląd przykładowego rekordu tabeli</w:t>
                  </w:r>
                </w:p>
              </w:tc>
            </w:tr>
            <w:tr w:rsidR="00973D82" w:rsidRPr="00B51D71" w14:paraId="0C4E1B21" w14:textId="77777777" w:rsidTr="002B30E0">
              <w:trPr>
                <w:trHeight w:val="20"/>
              </w:trPr>
              <w:tc>
                <w:tcPr>
                  <w:tcW w:w="1219" w:type="dxa"/>
                  <w:shd w:val="clear" w:color="auto" w:fill="auto"/>
                  <w:vAlign w:val="center"/>
                  <w:hideMark/>
                </w:tcPr>
                <w:p w14:paraId="7EB367DA"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43A41B0B"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09AE50C9"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7F5DF60C"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aPGW</w:t>
                  </w:r>
                </w:p>
              </w:tc>
              <w:tc>
                <w:tcPr>
                  <w:tcW w:w="1219" w:type="dxa"/>
                  <w:shd w:val="clear" w:color="auto" w:fill="auto"/>
                  <w:vAlign w:val="center"/>
                  <w:hideMark/>
                </w:tcPr>
                <w:p w14:paraId="52B5320E" w14:textId="77777777" w:rsidR="00F35225" w:rsidRPr="00B51D71" w:rsidRDefault="00F35225" w:rsidP="002B30E0">
                  <w:pPr>
                    <w:spacing w:before="20" w:after="20" w:line="240" w:lineRule="auto"/>
                    <w:rPr>
                      <w:rFonts w:eastAsia="Times New Roman" w:cstheme="minorHAnsi"/>
                      <w:i/>
                      <w:iCs/>
                      <w:sz w:val="20"/>
                      <w:szCs w:val="20"/>
                      <w:lang w:eastAsia="pl-PL"/>
                    </w:rPr>
                  </w:pPr>
                  <w:r w:rsidRPr="00B51D71">
                    <w:rPr>
                      <w:rFonts w:eastAsia="Times New Roman" w:cstheme="minorHAnsi"/>
                      <w:i/>
                      <w:iCs/>
                      <w:sz w:val="20"/>
                      <w:szCs w:val="20"/>
                      <w:lang w:eastAsia="pl-PL"/>
                    </w:rPr>
                    <w:t>Źródło danych: baza danych aPWŚK</w:t>
                  </w:r>
                </w:p>
              </w:tc>
            </w:tr>
          </w:tbl>
          <w:p w14:paraId="2B7384E0"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Dodatkowo poniżej tabel wnioskuje się o zamieszczenie krótkiego podsumowania danych zawartych w powyższych tabelach, typu: większość jednolitych części wód powierzchniowych znajdujących się w granicach obszaru „Dorzecza Wisłoki” odznacza się stanem ogólnym określonym jako dobry; większość działań wskazanych do realizacji w aktualizacji Programu wodnośrodowiskowego kraju (aPWŚK) dotyczy przede wszystkim … itd. Należy również krótko i zwięźle podsumować czy/jak/w jakim stopniu Strategia przewiduje realizację działań wykazanych w powyższych tabelach.</w:t>
            </w:r>
          </w:p>
        </w:tc>
        <w:tc>
          <w:tcPr>
            <w:tcW w:w="1998" w:type="pct"/>
          </w:tcPr>
          <w:p w14:paraId="09BD4E95"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częściowo uwzględniona</w:t>
            </w:r>
          </w:p>
          <w:p w14:paraId="3E7C6F5D" w14:textId="77777777" w:rsidR="00F35225" w:rsidRPr="00B51D71" w:rsidRDefault="00F35225" w:rsidP="00F35225">
            <w:pPr>
              <w:pStyle w:val="Akapitzlist"/>
              <w:numPr>
                <w:ilvl w:val="0"/>
                <w:numId w:val="8"/>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 xml:space="preserve">Państwowe Gospodarstwo Wodne Wody Polskie Regionalny Zarząd Gospodarki Wodnej w Krakowie wskazuje, że podmiotem właściwym do wydania opinii jest Państwowe Gospodarstwo Wodne Wody Polskie Regionalny Zarząd Gospodarki Wodnej w Rzeszowie, które pozytywnie opiniuje Strategię. </w:t>
            </w:r>
          </w:p>
          <w:p w14:paraId="46C91655" w14:textId="40C7CB43" w:rsidR="00F35225" w:rsidRPr="00B51D71" w:rsidRDefault="00F35225" w:rsidP="00F35225">
            <w:pPr>
              <w:pStyle w:val="Akapitzlist"/>
              <w:numPr>
                <w:ilvl w:val="0"/>
                <w:numId w:val="8"/>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Odnosząc się do uwagi dot. opracowania tabeli to należy stwierdzić, że w części dot. postulowanych tabel dotyczy ona dokumentu pn. „Diagnoza społeczna, gospodarcza i przestrzenna obszaru realizacji strategii Dorzecza Wisłoki wraz z wnioskami”. Zgodnie z postanowieniami Ustawy z dnia 8 marca 1990 r.</w:t>
            </w:r>
            <w:r w:rsidR="003A115B">
              <w:rPr>
                <w:rFonts w:asciiTheme="minorHAnsi" w:hAnsiTheme="minorHAnsi" w:cstheme="minorHAnsi"/>
                <w:sz w:val="20"/>
                <w:szCs w:val="20"/>
              </w:rPr>
              <w:t xml:space="preserve"> </w:t>
            </w:r>
            <w:r w:rsidRPr="00B51D71">
              <w:rPr>
                <w:rFonts w:asciiTheme="minorHAnsi" w:hAnsiTheme="minorHAnsi" w:cstheme="minorHAnsi"/>
                <w:sz w:val="20"/>
                <w:szCs w:val="20"/>
              </w:rPr>
              <w:t xml:space="preserve">o samorządzie gminnym strategia ponadlokalna zawiera „wnioski z diagnozy, o której mowa w art. 10a ust. 1 ustawy z dnia 6 grudnia 2006 r. o zasadach prowadzenia polityki rozwoju (Dz. U. z 2019 r. poz. 1295 i 2020 oraz z 2020 r. poz. 1378) i nie może być uwzględniona. </w:t>
            </w:r>
          </w:p>
          <w:p w14:paraId="2B6A82A9" w14:textId="4BCDAEDE" w:rsidR="00F35225" w:rsidRPr="00B51D71" w:rsidRDefault="00F35225" w:rsidP="00F35225">
            <w:pPr>
              <w:pStyle w:val="Akapitzlist"/>
              <w:numPr>
                <w:ilvl w:val="0"/>
                <w:numId w:val="8"/>
              </w:numPr>
              <w:spacing w:before="0" w:beforeAutospacing="0" w:after="0" w:afterAutospacing="0"/>
              <w:ind w:left="417"/>
              <w:contextualSpacing/>
              <w:jc w:val="left"/>
              <w:rPr>
                <w:rFonts w:asciiTheme="minorHAnsi" w:hAnsiTheme="minorHAnsi" w:cstheme="minorHAnsi"/>
                <w:sz w:val="20"/>
                <w:szCs w:val="20"/>
              </w:rPr>
            </w:pPr>
            <w:r w:rsidRPr="00B51D71">
              <w:rPr>
                <w:rFonts w:asciiTheme="minorHAnsi" w:hAnsiTheme="minorHAnsi" w:cstheme="minorHAnsi"/>
                <w:sz w:val="20"/>
                <w:szCs w:val="20"/>
              </w:rPr>
              <w:t xml:space="preserve">Ponadto w opisie </w:t>
            </w:r>
            <w:r w:rsidRPr="00B51D71">
              <w:rPr>
                <w:rFonts w:asciiTheme="minorHAnsi" w:hAnsiTheme="minorHAnsi" w:cstheme="minorHAnsi"/>
                <w:i/>
                <w:iCs/>
                <w:sz w:val="20"/>
                <w:szCs w:val="20"/>
              </w:rPr>
              <w:t>Kierunku Działania 3.1. Ochrona przeciwpowodziowa „Dorzecza Wisłoki” i zwiększenie odporności obszaru na skutki zmian klimatu</w:t>
            </w:r>
            <w:r w:rsidRPr="00B51D71">
              <w:rPr>
                <w:rFonts w:asciiTheme="minorHAnsi" w:hAnsiTheme="minorHAnsi" w:cstheme="minorHAnsi"/>
                <w:sz w:val="20"/>
                <w:szCs w:val="20"/>
              </w:rPr>
              <w:t xml:space="preserve"> zostanie dodana informacja dot. Planów gospodarowania wodami na obszarach dorzeczy oraz dot.  aktualizacji Programu wodnośrodowiskowego kraju (aPWŚK).</w:t>
            </w:r>
          </w:p>
        </w:tc>
      </w:tr>
      <w:tr w:rsidR="00973D82" w:rsidRPr="00B51D71" w14:paraId="4473E791" w14:textId="77777777" w:rsidTr="00B51D71">
        <w:trPr>
          <w:cantSplit/>
          <w:trHeight w:val="20"/>
        </w:trPr>
        <w:tc>
          <w:tcPr>
            <w:tcW w:w="182" w:type="pct"/>
          </w:tcPr>
          <w:p w14:paraId="594D79B1"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lastRenderedPageBreak/>
              <w:t>1d</w:t>
            </w:r>
          </w:p>
        </w:tc>
        <w:tc>
          <w:tcPr>
            <w:tcW w:w="441" w:type="pct"/>
            <w:vMerge/>
          </w:tcPr>
          <w:p w14:paraId="0C426255" w14:textId="77777777" w:rsidR="00F35225" w:rsidRPr="00B51D71" w:rsidRDefault="00F35225" w:rsidP="002B30E0">
            <w:pPr>
              <w:ind w:firstLine="0"/>
              <w:jc w:val="center"/>
              <w:rPr>
                <w:rFonts w:eastAsia="Times New Roman" w:cstheme="minorHAnsi"/>
                <w:sz w:val="20"/>
                <w:szCs w:val="20"/>
                <w:lang w:eastAsia="pl-PL"/>
              </w:rPr>
            </w:pPr>
          </w:p>
        </w:tc>
        <w:tc>
          <w:tcPr>
            <w:tcW w:w="352" w:type="pct"/>
          </w:tcPr>
          <w:p w14:paraId="69C300FD"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7909C6E5"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072028FE"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Dokument Strategii powinien również zostać uzupełniony o informacje dotyczące położenia obszaru objętego przedmiotowym opracowaniem względem wydzielonych Głównych Zbiorników Wód Podziemnych (GZWP).</w:t>
            </w:r>
          </w:p>
        </w:tc>
        <w:tc>
          <w:tcPr>
            <w:tcW w:w="1998" w:type="pct"/>
          </w:tcPr>
          <w:p w14:paraId="77D15E07"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361136DE" w14:textId="77777777" w:rsidR="00F35225" w:rsidRPr="00B51D71" w:rsidRDefault="00F35225" w:rsidP="00F35225">
            <w:pPr>
              <w:pStyle w:val="Akapitzlist"/>
              <w:numPr>
                <w:ilvl w:val="0"/>
                <w:numId w:val="9"/>
              </w:numPr>
              <w:spacing w:before="0" w:beforeAutospacing="0" w:after="0" w:afterAutospacing="0"/>
              <w:ind w:left="417"/>
              <w:contextualSpacing/>
              <w:jc w:val="left"/>
              <w:rPr>
                <w:rFonts w:asciiTheme="minorHAnsi" w:hAnsiTheme="minorHAnsi" w:cstheme="minorHAnsi"/>
                <w:sz w:val="20"/>
                <w:szCs w:val="20"/>
                <w:u w:val="single"/>
              </w:rPr>
            </w:pPr>
            <w:r w:rsidRPr="00B51D71">
              <w:rPr>
                <w:rFonts w:asciiTheme="minorHAnsi" w:hAnsiTheme="minorHAnsi" w:cstheme="minorHAnsi"/>
                <w:sz w:val="20"/>
                <w:szCs w:val="20"/>
              </w:rPr>
              <w:t xml:space="preserve">Państwowe Gospodarstwo Wodne Wody Polskie Regionalny Zarząd Gospodarki Wodnej w Krakowie wskazuje, że podmiotem właściwym do wydania opinii jest Państwowe Gospodarstwo Wodne Wody Polskie Regionalny Zarząd Gospodarki Wodnej w Rzeszowie, które pozytywnie opiniuje Strategię. </w:t>
            </w:r>
          </w:p>
          <w:p w14:paraId="4D72B418" w14:textId="22183B22" w:rsidR="00F35225" w:rsidRPr="00B51D71" w:rsidRDefault="00F35225" w:rsidP="00F35225">
            <w:pPr>
              <w:pStyle w:val="Akapitzlist"/>
              <w:numPr>
                <w:ilvl w:val="0"/>
                <w:numId w:val="9"/>
              </w:numPr>
              <w:spacing w:before="0" w:beforeAutospacing="0" w:after="0" w:afterAutospacing="0"/>
              <w:ind w:left="417"/>
              <w:contextualSpacing/>
              <w:jc w:val="left"/>
              <w:rPr>
                <w:rFonts w:asciiTheme="minorHAnsi" w:hAnsiTheme="minorHAnsi" w:cstheme="minorHAnsi"/>
                <w:b/>
                <w:bCs/>
                <w:sz w:val="20"/>
                <w:szCs w:val="20"/>
                <w:u w:val="single"/>
              </w:rPr>
            </w:pPr>
            <w:r w:rsidRPr="00B51D71">
              <w:rPr>
                <w:rFonts w:asciiTheme="minorHAnsi" w:hAnsiTheme="minorHAnsi" w:cstheme="minorHAnsi"/>
                <w:sz w:val="20"/>
                <w:szCs w:val="20"/>
              </w:rPr>
              <w:t>Odnosząc się do uwagi należy stwierdzić, że dotyczy ona dokumentu pn. „Diagnoza społeczna, gospodarcza i przestrzenna obszaru realizacji strategii Dorzecza Wisłoki wraz z wnioskami”. Zgodnie z postanowieniami Ustawy z dnia 8 marca 1990 r.</w:t>
            </w:r>
            <w:r w:rsidR="003A115B">
              <w:rPr>
                <w:rFonts w:asciiTheme="minorHAnsi" w:hAnsiTheme="minorHAnsi" w:cstheme="minorHAnsi"/>
                <w:sz w:val="20"/>
                <w:szCs w:val="20"/>
              </w:rPr>
              <w:t xml:space="preserve"> </w:t>
            </w:r>
            <w:r w:rsidRPr="00B51D71">
              <w:rPr>
                <w:rFonts w:asciiTheme="minorHAnsi" w:hAnsiTheme="minorHAnsi" w:cstheme="minorHAnsi"/>
                <w:sz w:val="20"/>
                <w:szCs w:val="20"/>
              </w:rPr>
              <w:t xml:space="preserve">o samorządzie gminnym strategia ponadlokalna zawiera „wnioski z diagnozy, o której mowa w art. 10a ust. 1 ustawy z dnia 6 grudnia 2006 r. o zasadach prowadzenia polityki rozwoju (Dz. U. z 2019 r. poz. 1295 i 2020 oraz z 2020 r. poz. 1378), przygotowanej na potrzeby tej strategii”. W konsekwencji uwaga nie może być uwzględniona. </w:t>
            </w:r>
          </w:p>
        </w:tc>
      </w:tr>
      <w:tr w:rsidR="00973D82" w:rsidRPr="00B51D71" w14:paraId="3D2C07A3" w14:textId="77777777" w:rsidTr="00B51D71">
        <w:trPr>
          <w:cantSplit/>
          <w:trHeight w:val="20"/>
        </w:trPr>
        <w:tc>
          <w:tcPr>
            <w:tcW w:w="182" w:type="pct"/>
          </w:tcPr>
          <w:p w14:paraId="2D878044"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2.</w:t>
            </w:r>
          </w:p>
        </w:tc>
        <w:tc>
          <w:tcPr>
            <w:tcW w:w="441" w:type="pct"/>
          </w:tcPr>
          <w:p w14:paraId="42507B55"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Państwowe Gospodarstwo Wodne Wody Polskie Regionalny Zarząd Gospodarki Wodnej w Rzeszowie</w:t>
            </w:r>
          </w:p>
        </w:tc>
        <w:tc>
          <w:tcPr>
            <w:tcW w:w="352" w:type="pct"/>
          </w:tcPr>
          <w:p w14:paraId="2498426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0038FB36"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2509EF28"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uzupełnienie ww. Strategii w zakresie informacji dotyczących obszarów szczególnego zagrożenia powodzią i związanych z tymi obszarami zakazami i ograniczeniami wynikającym z przepisów prawa.</w:t>
            </w:r>
          </w:p>
        </w:tc>
        <w:tc>
          <w:tcPr>
            <w:tcW w:w="1998" w:type="pct"/>
          </w:tcPr>
          <w:p w14:paraId="09288F47"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740D4C10" w14:textId="67AB73BB" w:rsidR="00F35225" w:rsidRPr="00B51D71" w:rsidRDefault="00F35225" w:rsidP="002B30E0">
            <w:pPr>
              <w:ind w:firstLine="0"/>
              <w:jc w:val="left"/>
              <w:rPr>
                <w:rFonts w:eastAsia="Times New Roman" w:cstheme="minorHAnsi"/>
                <w:b/>
                <w:bCs/>
                <w:sz w:val="20"/>
                <w:szCs w:val="20"/>
                <w:u w:val="single"/>
                <w:lang w:eastAsia="pl-PL"/>
              </w:rPr>
            </w:pPr>
            <w:r w:rsidRPr="00B51D71">
              <w:rPr>
                <w:rFonts w:eastAsia="Times New Roman" w:cstheme="minorHAnsi"/>
                <w:sz w:val="20"/>
                <w:szCs w:val="20"/>
                <w:lang w:eastAsia="pl-PL"/>
              </w:rPr>
              <w:t xml:space="preserve">Strategia w opisie Kierunku Działania </w:t>
            </w:r>
            <w:r w:rsidRPr="00B51D71">
              <w:rPr>
                <w:rFonts w:eastAsia="Times New Roman" w:cstheme="minorHAnsi"/>
                <w:i/>
                <w:iCs/>
                <w:sz w:val="20"/>
                <w:szCs w:val="20"/>
                <w:lang w:eastAsia="pl-PL"/>
              </w:rPr>
              <w:t>3.1. Ochrona przeciwpowodziowa „Dorzecza Wisłoki” i zwiększenie odporności obszaru na skutki zmian klimatu</w:t>
            </w:r>
            <w:r w:rsidRPr="00B51D71">
              <w:rPr>
                <w:rFonts w:eastAsia="Times New Roman" w:cstheme="minorHAnsi"/>
                <w:sz w:val="20"/>
                <w:szCs w:val="20"/>
                <w:lang w:eastAsia="pl-PL"/>
              </w:rPr>
              <w:t xml:space="preserve"> uzupełniona </w:t>
            </w:r>
            <w:r w:rsidR="003A115B">
              <w:rPr>
                <w:rFonts w:eastAsia="Times New Roman" w:cstheme="minorHAnsi"/>
                <w:sz w:val="20"/>
                <w:szCs w:val="20"/>
                <w:lang w:eastAsia="pl-PL"/>
              </w:rPr>
              <w:t xml:space="preserve">zostanie </w:t>
            </w:r>
            <w:r w:rsidRPr="00B51D71">
              <w:rPr>
                <w:rFonts w:eastAsia="Times New Roman" w:cstheme="minorHAnsi"/>
                <w:sz w:val="20"/>
                <w:szCs w:val="20"/>
                <w:lang w:eastAsia="pl-PL"/>
              </w:rPr>
              <w:t xml:space="preserve">o odniesienie do planu zarządzania ryzykiem powodziowym oraz planu przeciwdziałania skutkom suszy jak również zostanie wskazane odniesienie dot. zakazów wynikających z przepisów prawa. </w:t>
            </w:r>
          </w:p>
        </w:tc>
      </w:tr>
      <w:tr w:rsidR="00973D82" w:rsidRPr="00B51D71" w14:paraId="0CECBD6E" w14:textId="77777777" w:rsidTr="00B51D71">
        <w:trPr>
          <w:cantSplit/>
          <w:trHeight w:val="20"/>
        </w:trPr>
        <w:tc>
          <w:tcPr>
            <w:tcW w:w="182" w:type="pct"/>
          </w:tcPr>
          <w:p w14:paraId="5D2DBB9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3.</w:t>
            </w:r>
          </w:p>
        </w:tc>
        <w:tc>
          <w:tcPr>
            <w:tcW w:w="441" w:type="pct"/>
          </w:tcPr>
          <w:p w14:paraId="3E81DB8E"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Osoba</w:t>
            </w:r>
            <w:r w:rsidRPr="00B51D71">
              <w:rPr>
                <w:rFonts w:eastAsia="Times New Roman" w:cstheme="minorHAnsi"/>
                <w:sz w:val="20"/>
                <w:szCs w:val="20"/>
                <w:lang w:eastAsia="pl-PL"/>
              </w:rPr>
              <w:br/>
              <w:t>fizyczna</w:t>
            </w:r>
          </w:p>
        </w:tc>
        <w:tc>
          <w:tcPr>
            <w:tcW w:w="352" w:type="pct"/>
          </w:tcPr>
          <w:p w14:paraId="16D0B8AB"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16</w:t>
            </w:r>
          </w:p>
        </w:tc>
        <w:tc>
          <w:tcPr>
            <w:tcW w:w="2028" w:type="pct"/>
          </w:tcPr>
          <w:p w14:paraId="6049490B" w14:textId="250FBBFC"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Dopisanie na stronie 16 pkt. A.3.14 po przecinku - zapobiegania suszy i zaspokojenia zapotrzebowania na wodę</w:t>
            </w:r>
          </w:p>
        </w:tc>
        <w:tc>
          <w:tcPr>
            <w:tcW w:w="1998" w:type="pct"/>
          </w:tcPr>
          <w:p w14:paraId="76840B6D"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42B74C09" w14:textId="77777777" w:rsidR="00F35225" w:rsidRPr="00B51D71" w:rsidRDefault="00F35225" w:rsidP="002B30E0">
            <w:pPr>
              <w:ind w:firstLine="0"/>
              <w:jc w:val="left"/>
              <w:rPr>
                <w:rFonts w:eastAsia="Times New Roman" w:cstheme="minorHAnsi"/>
                <w:b/>
                <w:bCs/>
                <w:sz w:val="20"/>
                <w:szCs w:val="20"/>
                <w:u w:val="single"/>
                <w:lang w:eastAsia="pl-PL"/>
              </w:rPr>
            </w:pPr>
          </w:p>
        </w:tc>
      </w:tr>
      <w:tr w:rsidR="00973D82" w:rsidRPr="00B51D71" w14:paraId="15370FA8" w14:textId="77777777" w:rsidTr="00B51D71">
        <w:trPr>
          <w:cantSplit/>
          <w:trHeight w:val="20"/>
        </w:trPr>
        <w:tc>
          <w:tcPr>
            <w:tcW w:w="182" w:type="pct"/>
          </w:tcPr>
          <w:p w14:paraId="712BD55D"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4.</w:t>
            </w:r>
          </w:p>
        </w:tc>
        <w:tc>
          <w:tcPr>
            <w:tcW w:w="441" w:type="pct"/>
          </w:tcPr>
          <w:p w14:paraId="39A537AA"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Osoba</w:t>
            </w:r>
            <w:r w:rsidRPr="00B51D71">
              <w:rPr>
                <w:rFonts w:eastAsia="Times New Roman" w:cstheme="minorHAnsi"/>
                <w:sz w:val="20"/>
                <w:szCs w:val="20"/>
                <w:lang w:eastAsia="pl-PL"/>
              </w:rPr>
              <w:br/>
              <w:t>fizyczna</w:t>
            </w:r>
          </w:p>
        </w:tc>
        <w:tc>
          <w:tcPr>
            <w:tcW w:w="352" w:type="pct"/>
          </w:tcPr>
          <w:p w14:paraId="1255375F"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6A39FD58"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4DB8FDE6"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Centra opiekuńczo mieszkalne są ważne w pomocy dorosłym osobom niepełnosprawnym ze znacznym lub umiarkowanym stopniem niepełnosprawności. Proszę rozważyć zasadność wprowadzenia ich w rodzajach przykładowych projektów w kierunku działania 1.4 włączenie i integracja społeczna</w:t>
            </w:r>
          </w:p>
        </w:tc>
        <w:tc>
          <w:tcPr>
            <w:tcW w:w="1998" w:type="pct"/>
          </w:tcPr>
          <w:p w14:paraId="4CF12DBB"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5B743C38" w14:textId="77777777" w:rsidR="00F35225" w:rsidRPr="00B51D71" w:rsidRDefault="00F35225" w:rsidP="002B30E0">
            <w:pPr>
              <w:ind w:firstLine="0"/>
              <w:jc w:val="left"/>
              <w:rPr>
                <w:rFonts w:eastAsia="Times New Roman" w:cstheme="minorHAnsi"/>
                <w:b/>
                <w:bCs/>
                <w:sz w:val="20"/>
                <w:szCs w:val="20"/>
                <w:u w:val="single"/>
                <w:lang w:eastAsia="pl-PL"/>
              </w:rPr>
            </w:pPr>
          </w:p>
        </w:tc>
      </w:tr>
      <w:tr w:rsidR="00973D82" w:rsidRPr="00B51D71" w14:paraId="26D28263" w14:textId="77777777" w:rsidTr="00B51D71">
        <w:trPr>
          <w:cantSplit/>
          <w:trHeight w:val="20"/>
        </w:trPr>
        <w:tc>
          <w:tcPr>
            <w:tcW w:w="182" w:type="pct"/>
          </w:tcPr>
          <w:p w14:paraId="7C60554D"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5.</w:t>
            </w:r>
          </w:p>
        </w:tc>
        <w:tc>
          <w:tcPr>
            <w:tcW w:w="441" w:type="pct"/>
          </w:tcPr>
          <w:p w14:paraId="16B570C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Osoba</w:t>
            </w:r>
            <w:r w:rsidRPr="00B51D71">
              <w:rPr>
                <w:rFonts w:eastAsia="Times New Roman" w:cstheme="minorHAnsi"/>
                <w:sz w:val="20"/>
                <w:szCs w:val="20"/>
                <w:lang w:eastAsia="pl-PL"/>
              </w:rPr>
              <w:br/>
              <w:t>fizyczna</w:t>
            </w:r>
          </w:p>
        </w:tc>
        <w:tc>
          <w:tcPr>
            <w:tcW w:w="352" w:type="pct"/>
          </w:tcPr>
          <w:p w14:paraId="49B50578"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23</w:t>
            </w:r>
          </w:p>
        </w:tc>
        <w:tc>
          <w:tcPr>
            <w:tcW w:w="2028" w:type="pct"/>
          </w:tcPr>
          <w:p w14:paraId="409FB1BF"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str. 23. Właściwa nazwa Strategii Rozwoju Województwa Podkarpackiego to Strategia Rozwoju Województwa - Podkarpackie 2030</w:t>
            </w:r>
          </w:p>
        </w:tc>
        <w:tc>
          <w:tcPr>
            <w:tcW w:w="1998" w:type="pct"/>
          </w:tcPr>
          <w:p w14:paraId="4972CE78"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5467A284" w14:textId="77777777" w:rsidR="00F35225" w:rsidRPr="00B51D71" w:rsidRDefault="00F35225" w:rsidP="002B30E0">
            <w:pPr>
              <w:ind w:firstLine="0"/>
              <w:jc w:val="left"/>
              <w:rPr>
                <w:rFonts w:eastAsia="Times New Roman" w:cstheme="minorHAnsi"/>
                <w:b/>
                <w:bCs/>
                <w:sz w:val="20"/>
                <w:szCs w:val="20"/>
                <w:u w:val="single"/>
                <w:lang w:eastAsia="pl-PL"/>
              </w:rPr>
            </w:pPr>
          </w:p>
        </w:tc>
      </w:tr>
      <w:tr w:rsidR="00973D82" w:rsidRPr="00B51D71" w14:paraId="3E66FF94" w14:textId="77777777" w:rsidTr="00B51D71">
        <w:trPr>
          <w:cantSplit/>
          <w:trHeight w:val="20"/>
        </w:trPr>
        <w:tc>
          <w:tcPr>
            <w:tcW w:w="182" w:type="pct"/>
          </w:tcPr>
          <w:p w14:paraId="74E0E109"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6a</w:t>
            </w:r>
          </w:p>
        </w:tc>
        <w:tc>
          <w:tcPr>
            <w:tcW w:w="441" w:type="pct"/>
            <w:vMerge w:val="restart"/>
          </w:tcPr>
          <w:p w14:paraId="722604A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Osoba</w:t>
            </w:r>
            <w:r w:rsidRPr="00B51D71">
              <w:rPr>
                <w:rFonts w:eastAsia="Times New Roman" w:cstheme="minorHAnsi"/>
                <w:sz w:val="20"/>
                <w:szCs w:val="20"/>
                <w:lang w:eastAsia="pl-PL"/>
              </w:rPr>
              <w:br/>
              <w:t>fizyczna</w:t>
            </w:r>
          </w:p>
        </w:tc>
        <w:tc>
          <w:tcPr>
            <w:tcW w:w="352" w:type="pct"/>
          </w:tcPr>
          <w:p w14:paraId="378CD07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3026F4D9"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618BED77"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Na terenie gminy Skołoszyn istnieje potrzeba rozwoju punktów selektywnej zbiórki odpadów. W strategii są wymienione inne gminy: Brzyska, Kołaczyce, Krempna, Mielec, Radomyśl Wielki, Żyraków. Brak Gminy Skołoszyn!</w:t>
            </w:r>
          </w:p>
        </w:tc>
        <w:tc>
          <w:tcPr>
            <w:tcW w:w="1998" w:type="pct"/>
          </w:tcPr>
          <w:p w14:paraId="5021D6C1"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3D3892DD" w14:textId="77777777" w:rsidR="00F35225" w:rsidRPr="00B51D71" w:rsidRDefault="00F35225" w:rsidP="002B30E0">
            <w:pPr>
              <w:ind w:firstLine="0"/>
              <w:jc w:val="left"/>
              <w:rPr>
                <w:rFonts w:eastAsia="Times New Roman" w:cstheme="minorHAnsi"/>
                <w:b/>
                <w:bCs/>
                <w:sz w:val="20"/>
                <w:szCs w:val="20"/>
                <w:u w:val="single"/>
                <w:lang w:eastAsia="pl-PL"/>
              </w:rPr>
            </w:pPr>
          </w:p>
        </w:tc>
      </w:tr>
      <w:tr w:rsidR="00973D82" w:rsidRPr="00B51D71" w14:paraId="613617F1" w14:textId="77777777" w:rsidTr="00B51D71">
        <w:trPr>
          <w:cantSplit/>
          <w:trHeight w:val="20"/>
        </w:trPr>
        <w:tc>
          <w:tcPr>
            <w:tcW w:w="182" w:type="pct"/>
          </w:tcPr>
          <w:p w14:paraId="10679BB2"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lastRenderedPageBreak/>
              <w:t>6b</w:t>
            </w:r>
          </w:p>
        </w:tc>
        <w:tc>
          <w:tcPr>
            <w:tcW w:w="441" w:type="pct"/>
            <w:vMerge/>
          </w:tcPr>
          <w:p w14:paraId="71CCC7B7" w14:textId="77777777" w:rsidR="00F35225" w:rsidRPr="00B51D71" w:rsidRDefault="00F35225" w:rsidP="002B30E0">
            <w:pPr>
              <w:ind w:firstLine="0"/>
              <w:jc w:val="center"/>
              <w:rPr>
                <w:rFonts w:eastAsia="Times New Roman" w:cstheme="minorHAnsi"/>
                <w:sz w:val="20"/>
                <w:szCs w:val="20"/>
                <w:lang w:eastAsia="pl-PL"/>
              </w:rPr>
            </w:pPr>
          </w:p>
        </w:tc>
        <w:tc>
          <w:tcPr>
            <w:tcW w:w="352" w:type="pct"/>
          </w:tcPr>
          <w:p w14:paraId="58169F54"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76EB506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3C79498D"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Ponadto dla mieszkańców powiatu jasielskiego ważna jest modernizacja gospodarki odpadami. Może warto w zdaniu "Troska o środowisko naturalne sprawia, że konieczne jest dalsze usprawnienie systemu odpadami, zwłaszcza że z diagnozy wynika, iż na obszarze "Dorzecza Wisłoki" widoczne są braki infrastrukturalne w tym zakresie. Realizując niniejsze działanie, należy przede wszystkim dążyć do budowy / rozbudowy PSZOK" trzeba zmienić sformułowanie "przede wszystkim" zastąpić "między innymi".</w:t>
            </w:r>
          </w:p>
        </w:tc>
        <w:tc>
          <w:tcPr>
            <w:tcW w:w="1998" w:type="pct"/>
          </w:tcPr>
          <w:p w14:paraId="14078C0E"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0094A2CC" w14:textId="77777777" w:rsidR="00F35225" w:rsidRPr="00B51D71" w:rsidRDefault="00F35225" w:rsidP="002B30E0">
            <w:pPr>
              <w:ind w:firstLine="0"/>
              <w:jc w:val="left"/>
              <w:rPr>
                <w:rFonts w:eastAsia="Times New Roman" w:cstheme="minorHAnsi"/>
                <w:b/>
                <w:bCs/>
                <w:sz w:val="20"/>
                <w:szCs w:val="20"/>
                <w:u w:val="single"/>
                <w:lang w:eastAsia="pl-PL"/>
              </w:rPr>
            </w:pPr>
          </w:p>
        </w:tc>
      </w:tr>
      <w:tr w:rsidR="00973D82" w:rsidRPr="00B51D71" w14:paraId="3B447A04" w14:textId="77777777" w:rsidTr="00B51D71">
        <w:trPr>
          <w:cantSplit/>
          <w:trHeight w:val="20"/>
        </w:trPr>
        <w:tc>
          <w:tcPr>
            <w:tcW w:w="182" w:type="pct"/>
          </w:tcPr>
          <w:p w14:paraId="73415C5B"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7.</w:t>
            </w:r>
          </w:p>
        </w:tc>
        <w:tc>
          <w:tcPr>
            <w:tcW w:w="441" w:type="pct"/>
          </w:tcPr>
          <w:p w14:paraId="2D80F244"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Osoba</w:t>
            </w:r>
            <w:r w:rsidRPr="00B51D71">
              <w:rPr>
                <w:rFonts w:eastAsia="Times New Roman" w:cstheme="minorHAnsi"/>
                <w:sz w:val="20"/>
                <w:szCs w:val="20"/>
                <w:lang w:eastAsia="pl-PL"/>
              </w:rPr>
              <w:br/>
              <w:t>fizyczna</w:t>
            </w:r>
          </w:p>
        </w:tc>
        <w:tc>
          <w:tcPr>
            <w:tcW w:w="352" w:type="pct"/>
          </w:tcPr>
          <w:p w14:paraId="46DAE110"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Brak</w:t>
            </w:r>
          </w:p>
          <w:p w14:paraId="55F8EBCB"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wskazania</w:t>
            </w:r>
          </w:p>
        </w:tc>
        <w:tc>
          <w:tcPr>
            <w:tcW w:w="2028" w:type="pct"/>
          </w:tcPr>
          <w:p w14:paraId="497AA170" w14:textId="77777777" w:rsidR="00F35225" w:rsidRPr="00B51D71" w:rsidRDefault="00F35225" w:rsidP="002B30E0">
            <w:pPr>
              <w:tabs>
                <w:tab w:val="left" w:pos="1290"/>
              </w:tabs>
              <w:ind w:firstLine="0"/>
              <w:jc w:val="left"/>
              <w:rPr>
                <w:rFonts w:eastAsia="Times New Roman" w:cstheme="minorHAnsi"/>
                <w:sz w:val="20"/>
                <w:szCs w:val="20"/>
                <w:lang w:eastAsia="pl-PL"/>
              </w:rPr>
            </w:pPr>
            <w:r w:rsidRPr="00B51D71">
              <w:rPr>
                <w:rFonts w:eastAsia="Times New Roman" w:cstheme="minorHAnsi"/>
                <w:sz w:val="20"/>
                <w:szCs w:val="20"/>
                <w:lang w:eastAsia="pl-PL"/>
              </w:rPr>
              <w:t>W kierunku 1.1 Poprawa jakości i dostępności infrastruktury społecznej oraz wszędzie tam gdzie jest mowa o przykładowych projektach, obok domów kultury należy również wprowadzić świetlice wiejski i domy ludowe</w:t>
            </w:r>
          </w:p>
        </w:tc>
        <w:tc>
          <w:tcPr>
            <w:tcW w:w="1998" w:type="pct"/>
          </w:tcPr>
          <w:p w14:paraId="0090259A"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34FF253E" w14:textId="77777777" w:rsidR="00F35225" w:rsidRPr="00B51D71" w:rsidRDefault="00F35225" w:rsidP="002B30E0">
            <w:pPr>
              <w:ind w:firstLine="0"/>
              <w:jc w:val="left"/>
              <w:rPr>
                <w:rFonts w:eastAsia="Times New Roman" w:cstheme="minorHAnsi"/>
                <w:b/>
                <w:bCs/>
                <w:sz w:val="20"/>
                <w:szCs w:val="20"/>
                <w:u w:val="single"/>
                <w:lang w:eastAsia="pl-PL"/>
              </w:rPr>
            </w:pPr>
          </w:p>
        </w:tc>
      </w:tr>
      <w:tr w:rsidR="00973D82" w:rsidRPr="00B51D71" w14:paraId="3C7FC10C" w14:textId="77777777" w:rsidTr="00B51D71">
        <w:trPr>
          <w:cantSplit/>
          <w:trHeight w:val="20"/>
        </w:trPr>
        <w:tc>
          <w:tcPr>
            <w:tcW w:w="182" w:type="pct"/>
          </w:tcPr>
          <w:p w14:paraId="4D09BD29"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8.</w:t>
            </w:r>
          </w:p>
        </w:tc>
        <w:tc>
          <w:tcPr>
            <w:tcW w:w="441" w:type="pct"/>
          </w:tcPr>
          <w:p w14:paraId="09AABDFE"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Osoba</w:t>
            </w:r>
            <w:r w:rsidRPr="00B51D71">
              <w:rPr>
                <w:rFonts w:eastAsia="Times New Roman" w:cstheme="minorHAnsi"/>
                <w:sz w:val="20"/>
                <w:szCs w:val="20"/>
                <w:lang w:eastAsia="pl-PL"/>
              </w:rPr>
              <w:br/>
              <w:t>fizyczna</w:t>
            </w:r>
          </w:p>
        </w:tc>
        <w:tc>
          <w:tcPr>
            <w:tcW w:w="352" w:type="pct"/>
          </w:tcPr>
          <w:p w14:paraId="7647628E"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34</w:t>
            </w:r>
          </w:p>
        </w:tc>
        <w:tc>
          <w:tcPr>
            <w:tcW w:w="2028" w:type="pct"/>
          </w:tcPr>
          <w:p w14:paraId="2B9CE503"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W przykładowych rodzajach projektów, które dotyczą infrastruktury dla firm (str. 34) sugeruję dopisanie, </w:t>
            </w:r>
            <w:bookmarkStart w:id="0" w:name="_Hlk109765346"/>
            <w:r w:rsidRPr="00B51D71">
              <w:rPr>
                <w:rFonts w:eastAsia="Times New Roman" w:cstheme="minorHAnsi"/>
                <w:sz w:val="20"/>
                <w:szCs w:val="20"/>
                <w:lang w:eastAsia="pl-PL"/>
              </w:rPr>
              <w:t>uzbrojenie terenów inwestycyjnych, Specjalne Strefy Aktywności Gospodarczej, Parki biznesu</w:t>
            </w:r>
            <w:bookmarkEnd w:id="0"/>
            <w:r w:rsidRPr="00B51D71">
              <w:rPr>
                <w:rFonts w:eastAsia="Times New Roman" w:cstheme="minorHAnsi"/>
                <w:sz w:val="20"/>
                <w:szCs w:val="20"/>
                <w:lang w:eastAsia="pl-PL"/>
              </w:rPr>
              <w:t>. Jeszcze dodatkowo proponuję doprecyzować na str. 38, ze chodzi o modernizację remiz – jest zapis modernizacja obiektów. Na tej samej stronie sugerujemy aby dodać skwery obok parków.</w:t>
            </w:r>
          </w:p>
        </w:tc>
        <w:tc>
          <w:tcPr>
            <w:tcW w:w="1998" w:type="pct"/>
          </w:tcPr>
          <w:p w14:paraId="3D0A6EA5"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54437F84" w14:textId="77777777" w:rsidR="00F35225" w:rsidRPr="00B51D71" w:rsidRDefault="00F35225" w:rsidP="002B30E0">
            <w:pPr>
              <w:ind w:firstLine="0"/>
              <w:jc w:val="left"/>
              <w:rPr>
                <w:rFonts w:eastAsia="Times New Roman" w:cstheme="minorHAnsi"/>
                <w:b/>
                <w:bCs/>
                <w:sz w:val="20"/>
                <w:szCs w:val="20"/>
                <w:u w:val="single"/>
                <w:lang w:eastAsia="pl-PL"/>
              </w:rPr>
            </w:pPr>
          </w:p>
        </w:tc>
      </w:tr>
      <w:tr w:rsidR="00973D82" w:rsidRPr="00B51D71" w14:paraId="13209CF1" w14:textId="77777777" w:rsidTr="00B51D71">
        <w:trPr>
          <w:cantSplit/>
          <w:trHeight w:val="20"/>
        </w:trPr>
        <w:tc>
          <w:tcPr>
            <w:tcW w:w="182" w:type="pct"/>
          </w:tcPr>
          <w:p w14:paraId="0C1DB7E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w:t>
            </w:r>
          </w:p>
        </w:tc>
        <w:tc>
          <w:tcPr>
            <w:tcW w:w="441" w:type="pct"/>
            <w:vMerge w:val="restart"/>
          </w:tcPr>
          <w:p w14:paraId="6B2440BA"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Osoba</w:t>
            </w:r>
            <w:r w:rsidRPr="00B51D71">
              <w:rPr>
                <w:rFonts w:eastAsia="Times New Roman" w:cstheme="minorHAnsi"/>
                <w:sz w:val="20"/>
                <w:szCs w:val="20"/>
                <w:lang w:eastAsia="pl-PL"/>
              </w:rPr>
              <w:br/>
              <w:t>fizyczna</w:t>
            </w:r>
          </w:p>
        </w:tc>
        <w:tc>
          <w:tcPr>
            <w:tcW w:w="352" w:type="pct"/>
          </w:tcPr>
          <w:p w14:paraId="68D4016D"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2</w:t>
            </w:r>
          </w:p>
        </w:tc>
        <w:tc>
          <w:tcPr>
            <w:tcW w:w="2028" w:type="pct"/>
          </w:tcPr>
          <w:p w14:paraId="28479521"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Po punkcie 12. umieścić punkt 13. Lista projektów realizujących Strategię.</w:t>
            </w:r>
          </w:p>
          <w:p w14:paraId="5D30E75B"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Dla lepszej czytelności i przejrzystości dokumentu wskazanym jest dołączenie Listy projektów realizujących Strategię wg Załącznika ze stronie 91.</w:t>
            </w:r>
          </w:p>
        </w:tc>
        <w:tc>
          <w:tcPr>
            <w:tcW w:w="1998" w:type="pct"/>
          </w:tcPr>
          <w:p w14:paraId="38287C21"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 xml:space="preserve">Uwaga nieuwzględniona </w:t>
            </w:r>
          </w:p>
          <w:p w14:paraId="042ED150"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sz w:val="20"/>
                <w:szCs w:val="20"/>
                <w:lang w:eastAsia="pl-PL"/>
              </w:rPr>
              <w:t xml:space="preserve">W części opisu procedur realizacyjnych Strategii wskazano, że lista projektów będzie tworzona po zatwierdzeniu dokumentu. W związku z powyższym brak jest możliwości dołączenia listy projektów na tym etapie. </w:t>
            </w:r>
          </w:p>
        </w:tc>
      </w:tr>
      <w:tr w:rsidR="00973D82" w:rsidRPr="00B51D71" w14:paraId="6A24E440" w14:textId="77777777" w:rsidTr="00B51D71">
        <w:trPr>
          <w:cantSplit/>
          <w:trHeight w:val="20"/>
        </w:trPr>
        <w:tc>
          <w:tcPr>
            <w:tcW w:w="182" w:type="pct"/>
          </w:tcPr>
          <w:p w14:paraId="653189D6"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9a</w:t>
            </w:r>
          </w:p>
        </w:tc>
        <w:tc>
          <w:tcPr>
            <w:tcW w:w="441" w:type="pct"/>
            <w:vMerge/>
          </w:tcPr>
          <w:p w14:paraId="3881D11A" w14:textId="77777777" w:rsidR="00F35225" w:rsidRPr="00B51D71" w:rsidRDefault="00F35225" w:rsidP="002B30E0">
            <w:pPr>
              <w:ind w:firstLine="0"/>
              <w:jc w:val="left"/>
              <w:rPr>
                <w:rFonts w:eastAsia="Times New Roman" w:cstheme="minorHAnsi"/>
                <w:sz w:val="20"/>
                <w:szCs w:val="20"/>
                <w:lang w:eastAsia="pl-PL"/>
              </w:rPr>
            </w:pPr>
          </w:p>
        </w:tc>
        <w:tc>
          <w:tcPr>
            <w:tcW w:w="352" w:type="pct"/>
          </w:tcPr>
          <w:p w14:paraId="673F9DA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10</w:t>
            </w:r>
          </w:p>
        </w:tc>
        <w:tc>
          <w:tcPr>
            <w:tcW w:w="2028" w:type="pct"/>
          </w:tcPr>
          <w:p w14:paraId="0E90B76A"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Liczba projektów – 321</w:t>
            </w:r>
          </w:p>
          <w:p w14:paraId="60D90E82"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Wartość całkowita projektów – 7,4 mld zł</w:t>
            </w:r>
          </w:p>
          <w:p w14:paraId="020E897E"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Brak korelacji z danymi podanymi w Tabeli 11. na stronie 79.</w:t>
            </w:r>
          </w:p>
        </w:tc>
        <w:tc>
          <w:tcPr>
            <w:tcW w:w="1998" w:type="pct"/>
          </w:tcPr>
          <w:p w14:paraId="02BD4858"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328D19D6"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Informacja na str. 10 zostanie poprawiona. </w:t>
            </w:r>
          </w:p>
        </w:tc>
      </w:tr>
      <w:tr w:rsidR="00973D82" w:rsidRPr="00B51D71" w14:paraId="07036AC1" w14:textId="77777777" w:rsidTr="00B51D71">
        <w:trPr>
          <w:cantSplit/>
          <w:trHeight w:val="20"/>
        </w:trPr>
        <w:tc>
          <w:tcPr>
            <w:tcW w:w="182" w:type="pct"/>
          </w:tcPr>
          <w:p w14:paraId="245568AF"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9b</w:t>
            </w:r>
          </w:p>
        </w:tc>
        <w:tc>
          <w:tcPr>
            <w:tcW w:w="441" w:type="pct"/>
            <w:vMerge/>
          </w:tcPr>
          <w:p w14:paraId="7B9DB798" w14:textId="77777777" w:rsidR="00F35225" w:rsidRPr="00B51D71" w:rsidRDefault="00F35225" w:rsidP="002B30E0">
            <w:pPr>
              <w:ind w:firstLine="0"/>
              <w:jc w:val="left"/>
              <w:rPr>
                <w:rFonts w:eastAsia="Times New Roman" w:cstheme="minorHAnsi"/>
                <w:sz w:val="20"/>
                <w:szCs w:val="20"/>
                <w:lang w:eastAsia="pl-PL"/>
              </w:rPr>
            </w:pPr>
          </w:p>
        </w:tc>
        <w:tc>
          <w:tcPr>
            <w:tcW w:w="352" w:type="pct"/>
          </w:tcPr>
          <w:p w14:paraId="6C9940FF"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18</w:t>
            </w:r>
          </w:p>
        </w:tc>
        <w:tc>
          <w:tcPr>
            <w:tcW w:w="2028" w:type="pct"/>
          </w:tcPr>
          <w:p w14:paraId="4E5F5D5D"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Badania ankietowe winny być przeprowadzone na grupie reprezentatywnej całego obszaru, przy 95-97% poziomie ufności (badanie zostało zrobione tylko wśród przedstawicieli JST – mało wiarygodne).</w:t>
            </w:r>
          </w:p>
        </w:tc>
        <w:tc>
          <w:tcPr>
            <w:tcW w:w="1998" w:type="pct"/>
          </w:tcPr>
          <w:p w14:paraId="3B8D93D3"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 xml:space="preserve">Uwaga nieuwzględniona </w:t>
            </w:r>
          </w:p>
          <w:p w14:paraId="416CD3BA" w14:textId="5689C793"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Brak uzasadnienia dla kwestionowania przyjętego przez autorów Strategii poziomu ufności, który oceniamy jako wystarczający. Brak uzasadniania dla stwierdzenia, że badanie ankietowe prowadzone z zaangażowaniem przedstawicieli JST jest mało wiarygodne. Uważamy, że wiedza i doświadczenie przedstawicieli JST jest kluczowe dla rozpoznania sytuacji społeczno-gospodarczej</w:t>
            </w:r>
          </w:p>
        </w:tc>
      </w:tr>
      <w:tr w:rsidR="00973D82" w:rsidRPr="00B51D71" w14:paraId="73EAB468" w14:textId="77777777" w:rsidTr="00B51D71">
        <w:trPr>
          <w:cantSplit/>
          <w:trHeight w:val="20"/>
        </w:trPr>
        <w:tc>
          <w:tcPr>
            <w:tcW w:w="182" w:type="pct"/>
          </w:tcPr>
          <w:p w14:paraId="29231BF9"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9c</w:t>
            </w:r>
          </w:p>
        </w:tc>
        <w:tc>
          <w:tcPr>
            <w:tcW w:w="441" w:type="pct"/>
            <w:vMerge/>
          </w:tcPr>
          <w:p w14:paraId="42F4D93A" w14:textId="77777777" w:rsidR="00F35225" w:rsidRPr="00B51D71" w:rsidRDefault="00F35225" w:rsidP="002B30E0">
            <w:pPr>
              <w:rPr>
                <w:rFonts w:eastAsia="Times New Roman" w:cstheme="minorHAnsi"/>
                <w:sz w:val="20"/>
                <w:szCs w:val="20"/>
                <w:lang w:eastAsia="pl-PL"/>
              </w:rPr>
            </w:pPr>
          </w:p>
        </w:tc>
        <w:tc>
          <w:tcPr>
            <w:tcW w:w="352" w:type="pct"/>
          </w:tcPr>
          <w:p w14:paraId="463E61A2"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27</w:t>
            </w:r>
          </w:p>
        </w:tc>
        <w:tc>
          <w:tcPr>
            <w:tcW w:w="2028" w:type="pct"/>
          </w:tcPr>
          <w:p w14:paraId="62345C57"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Ze względu na niską dochodowość rodzin w przedmiotowym obszarze zapewnienie mieszkań winno w pierwszej kolejności być realizowane poprzez działania JST, a nie przez deweloperów.</w:t>
            </w:r>
          </w:p>
        </w:tc>
        <w:tc>
          <w:tcPr>
            <w:tcW w:w="1998" w:type="pct"/>
          </w:tcPr>
          <w:p w14:paraId="0DC7634E"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 xml:space="preserve">Uwaga nieuwzględniona </w:t>
            </w:r>
          </w:p>
          <w:p w14:paraId="353957D1"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sz w:val="20"/>
                <w:szCs w:val="20"/>
                <w:lang w:eastAsia="pl-PL"/>
              </w:rPr>
              <w:t>W treści strategii wskazano, że „</w:t>
            </w:r>
            <w:r w:rsidRPr="00B51D71">
              <w:rPr>
                <w:rFonts w:eastAsia="Times New Roman" w:cstheme="minorHAnsi"/>
                <w:sz w:val="20"/>
                <w:szCs w:val="20"/>
                <w:u w:val="single"/>
                <w:lang w:eastAsia="pl-PL"/>
              </w:rPr>
              <w:t xml:space="preserve">Podstawową podaż mieszkań </w:t>
            </w:r>
            <w:r w:rsidRPr="00B51D71">
              <w:rPr>
                <w:rFonts w:eastAsia="Times New Roman" w:cstheme="minorHAnsi"/>
                <w:sz w:val="20"/>
                <w:szCs w:val="20"/>
                <w:lang w:eastAsia="pl-PL"/>
              </w:rPr>
              <w:t xml:space="preserve">powinna zapewnić działalność deweloperska” co nie oznacza wykluczenia z możliwości realizacji tych działań również JST. Jednak w opinii autorów Strategii brak jest możliwości, aby JST skutecznie wypełniły lukę na rynku mieszkaniowym. </w:t>
            </w:r>
          </w:p>
        </w:tc>
      </w:tr>
      <w:tr w:rsidR="00973D82" w:rsidRPr="00B51D71" w14:paraId="6CB7F960" w14:textId="77777777" w:rsidTr="00B51D71">
        <w:trPr>
          <w:cantSplit/>
          <w:trHeight w:val="20"/>
        </w:trPr>
        <w:tc>
          <w:tcPr>
            <w:tcW w:w="182" w:type="pct"/>
          </w:tcPr>
          <w:p w14:paraId="0E17DE90"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lastRenderedPageBreak/>
              <w:t>9d</w:t>
            </w:r>
          </w:p>
        </w:tc>
        <w:tc>
          <w:tcPr>
            <w:tcW w:w="441" w:type="pct"/>
            <w:vMerge/>
          </w:tcPr>
          <w:p w14:paraId="44C1F9A0" w14:textId="77777777" w:rsidR="00F35225" w:rsidRPr="00B51D71" w:rsidRDefault="00F35225" w:rsidP="002B30E0">
            <w:pPr>
              <w:rPr>
                <w:rFonts w:eastAsia="Times New Roman" w:cstheme="minorHAnsi"/>
                <w:sz w:val="20"/>
                <w:szCs w:val="20"/>
                <w:lang w:eastAsia="pl-PL"/>
              </w:rPr>
            </w:pPr>
          </w:p>
        </w:tc>
        <w:tc>
          <w:tcPr>
            <w:tcW w:w="352" w:type="pct"/>
          </w:tcPr>
          <w:p w14:paraId="60925B9F"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36</w:t>
            </w:r>
          </w:p>
        </w:tc>
        <w:tc>
          <w:tcPr>
            <w:tcW w:w="2028" w:type="pct"/>
          </w:tcPr>
          <w:p w14:paraId="69D1BD33"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Kilka lat temu ZGDW przygotował dokument strategiczny dot. ochrony</w:t>
            </w:r>
            <w:r w:rsidRPr="00B51D71">
              <w:rPr>
                <w:rFonts w:cstheme="minorHAnsi"/>
                <w:sz w:val="20"/>
                <w:szCs w:val="20"/>
              </w:rPr>
              <w:t xml:space="preserve"> </w:t>
            </w:r>
            <w:r w:rsidRPr="00B51D71">
              <w:rPr>
                <w:rFonts w:eastAsia="Times New Roman" w:cstheme="minorHAnsi"/>
                <w:sz w:val="20"/>
                <w:szCs w:val="20"/>
                <w:lang w:eastAsia="pl-PL"/>
              </w:rPr>
              <w:t>powietrza – piękny program, ale nic z niego nie zostało zrealizowane – brak źródeł finansowania. Czy, aby nie przygotowujemy kolejny dokument „na półkę”????</w:t>
            </w:r>
          </w:p>
        </w:tc>
        <w:tc>
          <w:tcPr>
            <w:tcW w:w="1998" w:type="pct"/>
          </w:tcPr>
          <w:p w14:paraId="2E543095"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 xml:space="preserve">Uwaga nieuwzględniona </w:t>
            </w:r>
          </w:p>
          <w:p w14:paraId="6ED8A2E9"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Strategia jest przygotowywana na podstawie Ustawy</w:t>
            </w:r>
          </w:p>
          <w:p w14:paraId="07EEBC3C"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 xml:space="preserve">z dnia 8 marca 1990 r.  o samorządzie gminnym co determinuje zobowiązanie dot. zasad jego wdrażania. Poza tym w ocenie autorów Strategii uwaga jest niezrozumiała. To raczej swobodne dywagacje autora uwagi. </w:t>
            </w:r>
          </w:p>
        </w:tc>
      </w:tr>
      <w:tr w:rsidR="00973D82" w:rsidRPr="00B51D71" w14:paraId="3D66945E" w14:textId="77777777" w:rsidTr="00B51D71">
        <w:trPr>
          <w:cantSplit/>
          <w:trHeight w:val="20"/>
        </w:trPr>
        <w:tc>
          <w:tcPr>
            <w:tcW w:w="182" w:type="pct"/>
          </w:tcPr>
          <w:p w14:paraId="68E6BED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9e</w:t>
            </w:r>
          </w:p>
        </w:tc>
        <w:tc>
          <w:tcPr>
            <w:tcW w:w="441" w:type="pct"/>
            <w:vMerge/>
          </w:tcPr>
          <w:p w14:paraId="773394AB" w14:textId="77777777" w:rsidR="00F35225" w:rsidRPr="00B51D71" w:rsidRDefault="00F35225" w:rsidP="002B30E0">
            <w:pPr>
              <w:rPr>
                <w:rFonts w:eastAsia="Times New Roman" w:cstheme="minorHAnsi"/>
                <w:sz w:val="20"/>
                <w:szCs w:val="20"/>
                <w:lang w:eastAsia="pl-PL"/>
              </w:rPr>
            </w:pPr>
          </w:p>
        </w:tc>
        <w:tc>
          <w:tcPr>
            <w:tcW w:w="352" w:type="pct"/>
          </w:tcPr>
          <w:p w14:paraId="10DB532B"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40</w:t>
            </w:r>
          </w:p>
        </w:tc>
        <w:tc>
          <w:tcPr>
            <w:tcW w:w="2028" w:type="pct"/>
          </w:tcPr>
          <w:p w14:paraId="49125397"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Czy aby dobrym kierunkiem jest zastępowanie węgla gazem, który również wg najnowszego stanowiska PE i KE jest „nieekologiczny”???</w:t>
            </w:r>
          </w:p>
        </w:tc>
        <w:tc>
          <w:tcPr>
            <w:tcW w:w="1998" w:type="pct"/>
          </w:tcPr>
          <w:p w14:paraId="5F1D9FD2"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 xml:space="preserve">Uwaga nieuwzględniona </w:t>
            </w:r>
          </w:p>
          <w:p w14:paraId="0E891E93" w14:textId="4A08F81F"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W związku z brakiem możliwości technicznych zastosowania OZE we wszystkich typach infrastruktury należy wykorzystywać również gazowe źródło zasilania. Ponadto warto zaznaczyć, że Parlament Europejski w lipcu 2022 r. uznał gaz i energię atomową jako ekologiczną w okresie przejściowym. </w:t>
            </w:r>
          </w:p>
        </w:tc>
      </w:tr>
      <w:tr w:rsidR="00973D82" w:rsidRPr="00B51D71" w14:paraId="6BF2E1B0" w14:textId="77777777" w:rsidTr="00B51D71">
        <w:trPr>
          <w:cantSplit/>
          <w:trHeight w:val="20"/>
        </w:trPr>
        <w:tc>
          <w:tcPr>
            <w:tcW w:w="182" w:type="pct"/>
          </w:tcPr>
          <w:p w14:paraId="23569F02"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9f</w:t>
            </w:r>
          </w:p>
        </w:tc>
        <w:tc>
          <w:tcPr>
            <w:tcW w:w="441" w:type="pct"/>
            <w:vMerge/>
          </w:tcPr>
          <w:p w14:paraId="4D1EE6CB" w14:textId="77777777" w:rsidR="00F35225" w:rsidRPr="00B51D71" w:rsidRDefault="00F35225" w:rsidP="002B30E0">
            <w:pPr>
              <w:rPr>
                <w:rFonts w:eastAsia="Times New Roman" w:cstheme="minorHAnsi"/>
                <w:sz w:val="20"/>
                <w:szCs w:val="20"/>
                <w:lang w:eastAsia="pl-PL"/>
              </w:rPr>
            </w:pPr>
          </w:p>
        </w:tc>
        <w:tc>
          <w:tcPr>
            <w:tcW w:w="352" w:type="pct"/>
          </w:tcPr>
          <w:p w14:paraId="3588D622"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46-48</w:t>
            </w:r>
          </w:p>
        </w:tc>
        <w:tc>
          <w:tcPr>
            <w:tcW w:w="2028" w:type="pct"/>
          </w:tcPr>
          <w:p w14:paraId="5D8BAEC4"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Podanie w Tabelach: 7., 8., 9. wartości docelowych wskaźników rezultatu.</w:t>
            </w:r>
          </w:p>
          <w:p w14:paraId="52BC7BEE"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Brak określenia danych docelowych spowoduje, że efekty wszelkich działań w ramach Strategii będą mało czytelne.</w:t>
            </w:r>
          </w:p>
        </w:tc>
        <w:tc>
          <w:tcPr>
            <w:tcW w:w="1998" w:type="pct"/>
          </w:tcPr>
          <w:p w14:paraId="23EB346D"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 xml:space="preserve">Uwaga nieuwzględniona </w:t>
            </w:r>
          </w:p>
          <w:p w14:paraId="114700B5"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Zgodnie z powszechnie przyjęta metodologią dla dokumentów strategicznych, dla których nie zostały zabezpieczone środki można określać trendy dot. wskaźników rezultatu w miejsce wartości docelowych. </w:t>
            </w:r>
          </w:p>
        </w:tc>
      </w:tr>
      <w:tr w:rsidR="00973D82" w:rsidRPr="00B51D71" w14:paraId="77F816D3" w14:textId="77777777" w:rsidTr="00B51D71">
        <w:trPr>
          <w:cantSplit/>
          <w:trHeight w:val="20"/>
        </w:trPr>
        <w:tc>
          <w:tcPr>
            <w:tcW w:w="182" w:type="pct"/>
          </w:tcPr>
          <w:p w14:paraId="5FC91725"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9g</w:t>
            </w:r>
          </w:p>
        </w:tc>
        <w:tc>
          <w:tcPr>
            <w:tcW w:w="441" w:type="pct"/>
            <w:vMerge/>
          </w:tcPr>
          <w:p w14:paraId="4089CA2C" w14:textId="77777777" w:rsidR="00F35225" w:rsidRPr="00B51D71" w:rsidRDefault="00F35225" w:rsidP="002B30E0">
            <w:pPr>
              <w:ind w:firstLine="0"/>
              <w:jc w:val="left"/>
              <w:rPr>
                <w:rFonts w:eastAsia="Times New Roman" w:cstheme="minorHAnsi"/>
                <w:sz w:val="20"/>
                <w:szCs w:val="20"/>
                <w:lang w:eastAsia="pl-PL"/>
              </w:rPr>
            </w:pPr>
          </w:p>
        </w:tc>
        <w:tc>
          <w:tcPr>
            <w:tcW w:w="352" w:type="pct"/>
          </w:tcPr>
          <w:p w14:paraId="011DCAC3"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46</w:t>
            </w:r>
          </w:p>
        </w:tc>
        <w:tc>
          <w:tcPr>
            <w:tcW w:w="2028" w:type="pct"/>
          </w:tcPr>
          <w:p w14:paraId="6EF846F8"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W Tabeli 7. dwa ostatnie wiersze nie korelują ze sobą.</w:t>
            </w:r>
          </w:p>
        </w:tc>
        <w:tc>
          <w:tcPr>
            <w:tcW w:w="1998" w:type="pct"/>
          </w:tcPr>
          <w:p w14:paraId="45C797C6"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uwzględniona</w:t>
            </w:r>
          </w:p>
          <w:p w14:paraId="151659BA"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Tabela zostanie skorygowana. </w:t>
            </w:r>
          </w:p>
          <w:p w14:paraId="157D0366" w14:textId="77777777" w:rsidR="00F35225" w:rsidRPr="00B51D71" w:rsidRDefault="00F35225" w:rsidP="002B30E0">
            <w:pPr>
              <w:ind w:firstLine="0"/>
              <w:jc w:val="left"/>
              <w:rPr>
                <w:rFonts w:eastAsia="Times New Roman" w:cstheme="minorHAnsi"/>
                <w:b/>
                <w:bCs/>
                <w:sz w:val="20"/>
                <w:szCs w:val="20"/>
                <w:lang w:eastAsia="pl-PL"/>
              </w:rPr>
            </w:pPr>
          </w:p>
        </w:tc>
      </w:tr>
      <w:tr w:rsidR="00973D82" w:rsidRPr="00B51D71" w14:paraId="42CEFDFE" w14:textId="77777777" w:rsidTr="00B51D71">
        <w:trPr>
          <w:cantSplit/>
          <w:trHeight w:val="20"/>
        </w:trPr>
        <w:tc>
          <w:tcPr>
            <w:tcW w:w="182" w:type="pct"/>
          </w:tcPr>
          <w:p w14:paraId="03909464"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9h</w:t>
            </w:r>
          </w:p>
        </w:tc>
        <w:tc>
          <w:tcPr>
            <w:tcW w:w="441" w:type="pct"/>
            <w:vMerge/>
          </w:tcPr>
          <w:p w14:paraId="5C997DFE" w14:textId="77777777" w:rsidR="00F35225" w:rsidRPr="00B51D71" w:rsidRDefault="00F35225" w:rsidP="002B30E0">
            <w:pPr>
              <w:rPr>
                <w:rFonts w:eastAsia="Times New Roman" w:cstheme="minorHAnsi"/>
                <w:sz w:val="20"/>
                <w:szCs w:val="20"/>
                <w:lang w:eastAsia="pl-PL"/>
              </w:rPr>
            </w:pPr>
          </w:p>
        </w:tc>
        <w:tc>
          <w:tcPr>
            <w:tcW w:w="352" w:type="pct"/>
          </w:tcPr>
          <w:p w14:paraId="078365E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49</w:t>
            </w:r>
          </w:p>
        </w:tc>
        <w:tc>
          <w:tcPr>
            <w:tcW w:w="2028" w:type="pct"/>
          </w:tcPr>
          <w:p w14:paraId="56E9D0BF"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Tabela 10. jest niewiarygodna. Nie wiadomo, o których strategiach jest mowa</w:t>
            </w:r>
          </w:p>
        </w:tc>
        <w:tc>
          <w:tcPr>
            <w:tcW w:w="1998" w:type="pct"/>
          </w:tcPr>
          <w:p w14:paraId="62FA0A33"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2D662610"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W treści tabeli wskazano, że chodzi o Strategie Rozwoju Województw oraz Plany Zagospodarowania Przestrzennego Województw</w:t>
            </w:r>
          </w:p>
        </w:tc>
      </w:tr>
      <w:tr w:rsidR="00973D82" w:rsidRPr="00B51D71" w14:paraId="04D6A82E" w14:textId="77777777" w:rsidTr="00B51D71">
        <w:trPr>
          <w:cantSplit/>
          <w:trHeight w:val="20"/>
        </w:trPr>
        <w:tc>
          <w:tcPr>
            <w:tcW w:w="182" w:type="pct"/>
          </w:tcPr>
          <w:p w14:paraId="19F2CC5F"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9i</w:t>
            </w:r>
          </w:p>
        </w:tc>
        <w:tc>
          <w:tcPr>
            <w:tcW w:w="441" w:type="pct"/>
            <w:vMerge/>
          </w:tcPr>
          <w:p w14:paraId="12971CD9" w14:textId="77777777" w:rsidR="00F35225" w:rsidRPr="00B51D71" w:rsidRDefault="00F35225" w:rsidP="002B30E0">
            <w:pPr>
              <w:rPr>
                <w:rFonts w:eastAsia="Times New Roman" w:cstheme="minorHAnsi"/>
                <w:sz w:val="20"/>
                <w:szCs w:val="20"/>
                <w:lang w:eastAsia="pl-PL"/>
              </w:rPr>
            </w:pPr>
          </w:p>
        </w:tc>
        <w:tc>
          <w:tcPr>
            <w:tcW w:w="352" w:type="pct"/>
          </w:tcPr>
          <w:p w14:paraId="4A3A7D7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53</w:t>
            </w:r>
          </w:p>
        </w:tc>
        <w:tc>
          <w:tcPr>
            <w:tcW w:w="2028" w:type="pct"/>
          </w:tcPr>
          <w:p w14:paraId="40ECD0EB"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Wydaje się mało realnym stworzenie jednego wspólnego dla przedmiotowego obszaru systemu transportu zbiorowego.</w:t>
            </w:r>
          </w:p>
        </w:tc>
        <w:tc>
          <w:tcPr>
            <w:tcW w:w="1998" w:type="pct"/>
          </w:tcPr>
          <w:p w14:paraId="58179D2A"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1CF52D46" w14:textId="536DFAD6"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sz w:val="20"/>
                <w:szCs w:val="20"/>
                <w:lang w:eastAsia="pl-PL"/>
              </w:rPr>
              <w:t>Uwaga prezentuję subiektywną i niepopartą faktami opinię zgłaszającego.</w:t>
            </w:r>
            <w:r w:rsidRPr="00B51D71">
              <w:rPr>
                <w:rFonts w:eastAsia="Times New Roman" w:cstheme="minorHAnsi"/>
                <w:b/>
                <w:bCs/>
                <w:sz w:val="20"/>
                <w:szCs w:val="20"/>
                <w:lang w:eastAsia="pl-PL"/>
              </w:rPr>
              <w:t xml:space="preserve"> Ponadto w treści strategii wskazano: </w:t>
            </w:r>
            <w:r w:rsidRPr="00B51D71">
              <w:rPr>
                <w:rFonts w:eastAsia="Times New Roman" w:cstheme="minorHAnsi"/>
                <w:sz w:val="20"/>
                <w:szCs w:val="20"/>
                <w:lang w:eastAsia="pl-PL"/>
              </w:rPr>
              <w:t>stworzenie spójnego (</w:t>
            </w:r>
            <w:r w:rsidRPr="00B51D71">
              <w:rPr>
                <w:rFonts w:eastAsia="Times New Roman" w:cstheme="minorHAnsi"/>
                <w:sz w:val="20"/>
                <w:szCs w:val="20"/>
                <w:u w:val="single"/>
                <w:lang w:eastAsia="pl-PL"/>
              </w:rPr>
              <w:t xml:space="preserve">optymalnie </w:t>
            </w:r>
            <w:r w:rsidRPr="00B51D71">
              <w:rPr>
                <w:rFonts w:eastAsia="Times New Roman" w:cstheme="minorHAnsi"/>
                <w:sz w:val="20"/>
                <w:szCs w:val="20"/>
                <w:lang w:eastAsia="pl-PL"/>
              </w:rPr>
              <w:t xml:space="preserve">wspólnego) dla „Dorzecza Wisłoki” systemu transportu zbiorowego, np. poprzez międzygminny związek transportowy. Kluczowe w tej kwestii jest sformułowanie „Optymalne”. </w:t>
            </w:r>
          </w:p>
        </w:tc>
      </w:tr>
      <w:tr w:rsidR="00973D82" w:rsidRPr="00B51D71" w14:paraId="04D4FA60" w14:textId="77777777" w:rsidTr="00B51D71">
        <w:trPr>
          <w:cantSplit/>
          <w:trHeight w:val="20"/>
        </w:trPr>
        <w:tc>
          <w:tcPr>
            <w:tcW w:w="182" w:type="pct"/>
          </w:tcPr>
          <w:p w14:paraId="39FEA6B5"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9j</w:t>
            </w:r>
          </w:p>
        </w:tc>
        <w:tc>
          <w:tcPr>
            <w:tcW w:w="441" w:type="pct"/>
            <w:vMerge/>
          </w:tcPr>
          <w:p w14:paraId="794E37DB" w14:textId="77777777" w:rsidR="00F35225" w:rsidRPr="00B51D71" w:rsidRDefault="00F35225" w:rsidP="002B30E0">
            <w:pPr>
              <w:rPr>
                <w:rFonts w:eastAsia="Times New Roman" w:cstheme="minorHAnsi"/>
                <w:sz w:val="20"/>
                <w:szCs w:val="20"/>
                <w:lang w:eastAsia="pl-PL"/>
              </w:rPr>
            </w:pPr>
          </w:p>
        </w:tc>
        <w:tc>
          <w:tcPr>
            <w:tcW w:w="352" w:type="pct"/>
          </w:tcPr>
          <w:p w14:paraId="48C1BF0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74</w:t>
            </w:r>
          </w:p>
        </w:tc>
        <w:tc>
          <w:tcPr>
            <w:tcW w:w="2028" w:type="pct"/>
          </w:tcPr>
          <w:p w14:paraId="4BCB1E2E" w14:textId="77777777" w:rsidR="00F35225" w:rsidRPr="00B51D71" w:rsidRDefault="00F35225" w:rsidP="002B30E0">
            <w:pPr>
              <w:tabs>
                <w:tab w:val="left" w:pos="1470"/>
              </w:tabs>
              <w:ind w:firstLine="0"/>
              <w:jc w:val="left"/>
              <w:rPr>
                <w:rFonts w:eastAsia="Times New Roman" w:cstheme="minorHAnsi"/>
                <w:sz w:val="20"/>
                <w:szCs w:val="20"/>
                <w:lang w:eastAsia="pl-PL"/>
              </w:rPr>
            </w:pPr>
            <w:r w:rsidRPr="00B51D71">
              <w:rPr>
                <w:rFonts w:eastAsia="Times New Roman" w:cstheme="minorHAnsi"/>
                <w:sz w:val="20"/>
                <w:szCs w:val="20"/>
                <w:lang w:eastAsia="pl-PL"/>
              </w:rPr>
              <w:t>Wskazanym by było podanie szacunkowych kosztów funkcjonowania Koordynatora Strategii.</w:t>
            </w:r>
          </w:p>
        </w:tc>
        <w:tc>
          <w:tcPr>
            <w:tcW w:w="1998" w:type="pct"/>
          </w:tcPr>
          <w:p w14:paraId="4A5196FD"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371A3E4E"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Ze względu na procedurę zmian Strategii (konieczność uchwał wszystkich 35 rad Gmin i Powiatów) podawanie kosztów funkcjonowania koordynatora jest nieracjonalne. W przypadku zmiany wartości kosztów trzeba by aktualizować dokument. Poza tym w ocenia autorów strategii jest to informacja nieadekwatna dla realizacji celów Strategii. </w:t>
            </w:r>
          </w:p>
        </w:tc>
      </w:tr>
      <w:tr w:rsidR="00973D82" w:rsidRPr="00B51D71" w14:paraId="05588237" w14:textId="77777777" w:rsidTr="00B51D71">
        <w:trPr>
          <w:cantSplit/>
          <w:trHeight w:val="20"/>
        </w:trPr>
        <w:tc>
          <w:tcPr>
            <w:tcW w:w="182" w:type="pct"/>
          </w:tcPr>
          <w:p w14:paraId="7995E5A6"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9k</w:t>
            </w:r>
          </w:p>
        </w:tc>
        <w:tc>
          <w:tcPr>
            <w:tcW w:w="441" w:type="pct"/>
            <w:vMerge/>
          </w:tcPr>
          <w:p w14:paraId="06981B07" w14:textId="77777777" w:rsidR="00F35225" w:rsidRPr="00B51D71" w:rsidRDefault="00F35225" w:rsidP="002B30E0">
            <w:pPr>
              <w:rPr>
                <w:rFonts w:eastAsia="Times New Roman" w:cstheme="minorHAnsi"/>
                <w:sz w:val="20"/>
                <w:szCs w:val="20"/>
                <w:lang w:eastAsia="pl-PL"/>
              </w:rPr>
            </w:pPr>
          </w:p>
        </w:tc>
        <w:tc>
          <w:tcPr>
            <w:tcW w:w="352" w:type="pct"/>
          </w:tcPr>
          <w:p w14:paraId="145189A0"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76</w:t>
            </w:r>
          </w:p>
        </w:tc>
        <w:tc>
          <w:tcPr>
            <w:tcW w:w="2028" w:type="pct"/>
          </w:tcPr>
          <w:p w14:paraId="17198DCD" w14:textId="77777777"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W punkcie 9.2.4. nie zostały określone terminy w podpunktach: B., C., D. – można opublikować Sprawozdania np. po dwóch latach.</w:t>
            </w:r>
          </w:p>
        </w:tc>
        <w:tc>
          <w:tcPr>
            <w:tcW w:w="1998" w:type="pct"/>
          </w:tcPr>
          <w:p w14:paraId="4A61C0AC"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2329601A" w14:textId="3D3CD69C"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Brak jest uzasadnienia dla określania terminów dla szczegółowych czynności administracyjnych w dokumencie o randze Strategii. Decyzję o terminie publikacji sprawozdania może podjąć Rada Strategii. </w:t>
            </w:r>
          </w:p>
        </w:tc>
      </w:tr>
      <w:tr w:rsidR="00973D82" w:rsidRPr="00B51D71" w14:paraId="7D86D1FB" w14:textId="77777777" w:rsidTr="00B51D71">
        <w:trPr>
          <w:cantSplit/>
          <w:trHeight w:val="20"/>
        </w:trPr>
        <w:tc>
          <w:tcPr>
            <w:tcW w:w="182" w:type="pct"/>
          </w:tcPr>
          <w:p w14:paraId="2F88375F"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lastRenderedPageBreak/>
              <w:t>9l</w:t>
            </w:r>
          </w:p>
        </w:tc>
        <w:tc>
          <w:tcPr>
            <w:tcW w:w="441" w:type="pct"/>
            <w:vMerge/>
          </w:tcPr>
          <w:p w14:paraId="17C1049E" w14:textId="77777777" w:rsidR="00F35225" w:rsidRPr="00B51D71" w:rsidRDefault="00F35225" w:rsidP="002B30E0">
            <w:pPr>
              <w:rPr>
                <w:rFonts w:eastAsia="Times New Roman" w:cstheme="minorHAnsi"/>
                <w:sz w:val="20"/>
                <w:szCs w:val="20"/>
                <w:lang w:eastAsia="pl-PL"/>
              </w:rPr>
            </w:pPr>
          </w:p>
        </w:tc>
        <w:tc>
          <w:tcPr>
            <w:tcW w:w="352" w:type="pct"/>
          </w:tcPr>
          <w:p w14:paraId="62DAD15A"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80</w:t>
            </w:r>
          </w:p>
        </w:tc>
        <w:tc>
          <w:tcPr>
            <w:tcW w:w="2028" w:type="pct"/>
          </w:tcPr>
          <w:p w14:paraId="7F9E4D1F"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Poz. 1. – Zbiornik Kąty-Myscowa.</w:t>
            </w:r>
          </w:p>
          <w:p w14:paraId="77019FE2"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W sprawie budowy przedmiotowego zbiornika składano wniosek o kredyt do Banku Światowego. We wniosku była inna wartość zadania.</w:t>
            </w:r>
          </w:p>
          <w:p w14:paraId="145FAA99"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Poz. 2. Linia kolejowa Jasło-Dębica. Marszałek Woj. Podkarpackiego nie poparł pomysłu budowy tej linii. Już inżynierowie z CK pod koniec udowodnili, ze koszt budowy tej linii jest niewspółmierny do jej ew. korzyści.</w:t>
            </w:r>
          </w:p>
        </w:tc>
        <w:tc>
          <w:tcPr>
            <w:tcW w:w="1998" w:type="pct"/>
          </w:tcPr>
          <w:p w14:paraId="35206F0C"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3850F36E" w14:textId="6201E39B" w:rsidR="00F35225" w:rsidRPr="00B51D71" w:rsidRDefault="00F35225" w:rsidP="002B30E0">
            <w:pPr>
              <w:ind w:firstLine="0"/>
              <w:jc w:val="left"/>
              <w:rPr>
                <w:rFonts w:eastAsia="Times New Roman" w:cstheme="minorHAnsi"/>
                <w:sz w:val="20"/>
                <w:szCs w:val="20"/>
                <w:lang w:eastAsia="pl-PL"/>
              </w:rPr>
            </w:pPr>
            <w:r w:rsidRPr="00B51D71">
              <w:rPr>
                <w:rFonts w:eastAsia="Times New Roman" w:cstheme="minorHAnsi"/>
                <w:sz w:val="20"/>
                <w:szCs w:val="20"/>
                <w:lang w:eastAsia="pl-PL"/>
              </w:rPr>
              <w:t xml:space="preserve">W treści strategii wskazano, że wymienione projekty wynikają z badania potrzeb projektowych i nie należy ich utożsamiać z przedsięwzięciami przyjętymi do realizacji przedsięwzięciami. </w:t>
            </w:r>
          </w:p>
          <w:p w14:paraId="14979529"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 xml:space="preserve">Ad. 1 Zbiornik Kąty-Myscowa – wartość wg zgłoszenia interesariusza. </w:t>
            </w:r>
          </w:p>
          <w:p w14:paraId="16420357"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 xml:space="preserve">Ad 2. Informacja wg zgłoszenia interesariusza. </w:t>
            </w:r>
          </w:p>
        </w:tc>
      </w:tr>
      <w:tr w:rsidR="00973D82" w:rsidRPr="00B51D71" w14:paraId="0407C11A" w14:textId="77777777" w:rsidTr="00B51D71">
        <w:trPr>
          <w:cantSplit/>
          <w:trHeight w:val="20"/>
        </w:trPr>
        <w:tc>
          <w:tcPr>
            <w:tcW w:w="182" w:type="pct"/>
          </w:tcPr>
          <w:p w14:paraId="38327EEC"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9m</w:t>
            </w:r>
          </w:p>
        </w:tc>
        <w:tc>
          <w:tcPr>
            <w:tcW w:w="441" w:type="pct"/>
            <w:vMerge/>
          </w:tcPr>
          <w:p w14:paraId="043BFD94" w14:textId="77777777" w:rsidR="00F35225" w:rsidRPr="00B51D71" w:rsidRDefault="00F35225" w:rsidP="002B30E0">
            <w:pPr>
              <w:rPr>
                <w:rFonts w:eastAsia="Times New Roman" w:cstheme="minorHAnsi"/>
                <w:sz w:val="20"/>
                <w:szCs w:val="20"/>
                <w:lang w:eastAsia="pl-PL"/>
              </w:rPr>
            </w:pPr>
          </w:p>
        </w:tc>
        <w:tc>
          <w:tcPr>
            <w:tcW w:w="352" w:type="pct"/>
          </w:tcPr>
          <w:p w14:paraId="0C7BC214" w14:textId="77777777" w:rsidR="00F35225" w:rsidRPr="00B51D71" w:rsidRDefault="00F35225" w:rsidP="002B30E0">
            <w:pPr>
              <w:ind w:firstLine="0"/>
              <w:jc w:val="center"/>
              <w:rPr>
                <w:rFonts w:eastAsia="Times New Roman" w:cstheme="minorHAnsi"/>
                <w:sz w:val="20"/>
                <w:szCs w:val="20"/>
                <w:lang w:eastAsia="pl-PL"/>
              </w:rPr>
            </w:pPr>
            <w:r w:rsidRPr="00B51D71">
              <w:rPr>
                <w:rFonts w:eastAsia="Times New Roman" w:cstheme="minorHAnsi"/>
                <w:sz w:val="20"/>
                <w:szCs w:val="20"/>
                <w:lang w:eastAsia="pl-PL"/>
              </w:rPr>
              <w:t>88</w:t>
            </w:r>
          </w:p>
        </w:tc>
        <w:tc>
          <w:tcPr>
            <w:tcW w:w="2028" w:type="pct"/>
          </w:tcPr>
          <w:p w14:paraId="02D12C4C" w14:textId="77777777"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Luka w finansowaniu na poziomie 2,4 mld zł (czy aby jest to kwota realnie wyliczona?) jest zbyt dużym wyzwaniem dla JST na przedmiotowym obszarze.</w:t>
            </w:r>
          </w:p>
        </w:tc>
        <w:tc>
          <w:tcPr>
            <w:tcW w:w="1998" w:type="pct"/>
          </w:tcPr>
          <w:p w14:paraId="2D9D0779" w14:textId="77777777" w:rsidR="00F35225" w:rsidRPr="00B51D71" w:rsidRDefault="00F35225" w:rsidP="002B30E0">
            <w:pPr>
              <w:ind w:firstLine="0"/>
              <w:jc w:val="left"/>
              <w:rPr>
                <w:rFonts w:eastAsia="Times New Roman" w:cstheme="minorHAnsi"/>
                <w:b/>
                <w:bCs/>
                <w:sz w:val="20"/>
                <w:szCs w:val="20"/>
                <w:lang w:eastAsia="pl-PL"/>
              </w:rPr>
            </w:pPr>
            <w:r w:rsidRPr="00B51D71">
              <w:rPr>
                <w:rFonts w:eastAsia="Times New Roman" w:cstheme="minorHAnsi"/>
                <w:b/>
                <w:bCs/>
                <w:sz w:val="20"/>
                <w:szCs w:val="20"/>
                <w:lang w:eastAsia="pl-PL"/>
              </w:rPr>
              <w:t>Uwaga nieuwzględniona</w:t>
            </w:r>
          </w:p>
          <w:p w14:paraId="7C3478B5" w14:textId="6B887974" w:rsidR="00F35225" w:rsidRPr="00B51D71" w:rsidRDefault="00F35225" w:rsidP="002B30E0">
            <w:pPr>
              <w:ind w:firstLine="0"/>
              <w:rPr>
                <w:rFonts w:eastAsia="Times New Roman" w:cstheme="minorHAnsi"/>
                <w:sz w:val="20"/>
                <w:szCs w:val="20"/>
                <w:lang w:eastAsia="pl-PL"/>
              </w:rPr>
            </w:pPr>
            <w:r w:rsidRPr="00B51D71">
              <w:rPr>
                <w:rFonts w:eastAsia="Times New Roman" w:cstheme="minorHAnsi"/>
                <w:sz w:val="20"/>
                <w:szCs w:val="20"/>
                <w:lang w:eastAsia="pl-PL"/>
              </w:rPr>
              <w:t xml:space="preserve">Luka w finansowaniu została wyliczona na podstawie przyjętych w treści Strategii założeń i w tym kontekście jest realnie wyliczona. Ponadto należy przyjąć, że Strategia jest kierowana do interesariuszy również spoza sektora JST. W związku z tym zadanie uzupełnienia potencjalnej luki w finasowaniu dot. również podmiotów spoza sektora JST tj. administracji rządowej, przedsiębiorców, organizacji pozarządowych, itp. </w:t>
            </w:r>
          </w:p>
        </w:tc>
      </w:tr>
    </w:tbl>
    <w:p w14:paraId="2F4709A1" w14:textId="1FCEDE26" w:rsidR="008C24F0" w:rsidRPr="00B51D71" w:rsidRDefault="008C24F0" w:rsidP="009578A5">
      <w:pPr>
        <w:shd w:val="clear" w:color="auto" w:fill="FFFFFF"/>
        <w:spacing w:after="20" w:line="240" w:lineRule="auto"/>
        <w:jc w:val="both"/>
        <w:textAlignment w:val="baseline"/>
        <w:rPr>
          <w:rFonts w:eastAsia="Times New Roman" w:cstheme="minorHAnsi"/>
          <w:sz w:val="20"/>
          <w:szCs w:val="20"/>
          <w:lang w:eastAsia="pl-PL"/>
        </w:rPr>
      </w:pPr>
    </w:p>
    <w:p w14:paraId="5E2D2DBF" w14:textId="0640DF58" w:rsidR="00F35225" w:rsidRPr="00B51D71" w:rsidRDefault="00F35225" w:rsidP="009578A5">
      <w:pPr>
        <w:shd w:val="clear" w:color="auto" w:fill="FFFFFF"/>
        <w:spacing w:after="20" w:line="240" w:lineRule="auto"/>
        <w:jc w:val="both"/>
        <w:textAlignment w:val="baseline"/>
        <w:rPr>
          <w:rFonts w:eastAsia="Times New Roman" w:cstheme="minorHAnsi"/>
          <w:sz w:val="20"/>
          <w:szCs w:val="20"/>
          <w:lang w:eastAsia="pl-PL"/>
        </w:rPr>
      </w:pPr>
    </w:p>
    <w:p w14:paraId="01C4D61D" w14:textId="7756D147" w:rsidR="00F35225" w:rsidRPr="00B51D71" w:rsidRDefault="00F35225" w:rsidP="009578A5">
      <w:pPr>
        <w:shd w:val="clear" w:color="auto" w:fill="FFFFFF"/>
        <w:spacing w:after="20" w:line="240" w:lineRule="auto"/>
        <w:jc w:val="both"/>
        <w:textAlignment w:val="baseline"/>
        <w:rPr>
          <w:rFonts w:eastAsia="Times New Roman" w:cstheme="minorHAnsi"/>
          <w:sz w:val="20"/>
          <w:szCs w:val="20"/>
          <w:lang w:eastAsia="pl-PL"/>
        </w:rPr>
      </w:pPr>
    </w:p>
    <w:p w14:paraId="58A77A38" w14:textId="6AE04D4D" w:rsidR="00F35225" w:rsidRPr="00B51D71" w:rsidRDefault="008D1F32" w:rsidP="009578A5">
      <w:pPr>
        <w:shd w:val="clear" w:color="auto" w:fill="FFFFFF"/>
        <w:spacing w:after="20" w:line="240" w:lineRule="auto"/>
        <w:jc w:val="both"/>
        <w:textAlignment w:val="baseline"/>
        <w:rPr>
          <w:rFonts w:eastAsia="Times New Roman" w:cstheme="minorHAnsi"/>
          <w:sz w:val="20"/>
          <w:szCs w:val="20"/>
          <w:lang w:eastAsia="pl-PL"/>
        </w:rPr>
      </w:pPr>
      <w:r>
        <w:rPr>
          <w:rFonts w:eastAsia="Times New Roman" w:cstheme="minorHAnsi"/>
          <w:sz w:val="20"/>
          <w:szCs w:val="20"/>
          <w:lang w:eastAsia="pl-PL"/>
        </w:rPr>
        <w:t xml:space="preserve">04.08.2022 r. </w:t>
      </w:r>
    </w:p>
    <w:p w14:paraId="6087619F" w14:textId="33EEBE5E" w:rsidR="00F35225" w:rsidRPr="00B51D71" w:rsidRDefault="00973D82" w:rsidP="009578A5">
      <w:pPr>
        <w:shd w:val="clear" w:color="auto" w:fill="FFFFFF"/>
        <w:spacing w:after="20" w:line="240" w:lineRule="auto"/>
        <w:jc w:val="both"/>
        <w:textAlignment w:val="baseline"/>
        <w:rPr>
          <w:rFonts w:eastAsia="Times New Roman" w:cstheme="minorHAnsi"/>
          <w:sz w:val="20"/>
          <w:szCs w:val="20"/>
          <w:lang w:eastAsia="pl-PL"/>
        </w:rPr>
      </w:pPr>
      <w:r w:rsidRPr="00B51D71">
        <w:rPr>
          <w:rFonts w:eastAsia="Times New Roman" w:cstheme="minorHAnsi"/>
          <w:sz w:val="20"/>
          <w:szCs w:val="20"/>
          <w:lang w:eastAsia="pl-PL"/>
        </w:rPr>
        <w:t>_____________________________</w:t>
      </w:r>
    </w:p>
    <w:p w14:paraId="095CB5F6" w14:textId="4F3F19FE" w:rsidR="00F35225" w:rsidRPr="00B51D71" w:rsidRDefault="00F35225" w:rsidP="009578A5">
      <w:pPr>
        <w:shd w:val="clear" w:color="auto" w:fill="FFFFFF"/>
        <w:spacing w:after="20" w:line="240" w:lineRule="auto"/>
        <w:jc w:val="both"/>
        <w:textAlignment w:val="baseline"/>
        <w:rPr>
          <w:rFonts w:eastAsia="Times New Roman" w:cstheme="minorHAnsi"/>
          <w:sz w:val="20"/>
          <w:szCs w:val="20"/>
          <w:lang w:eastAsia="pl-PL"/>
        </w:rPr>
      </w:pPr>
      <w:r w:rsidRPr="00B51D71">
        <w:rPr>
          <w:rFonts w:eastAsia="Times New Roman" w:cstheme="minorHAnsi"/>
          <w:sz w:val="20"/>
          <w:szCs w:val="20"/>
          <w:lang w:eastAsia="pl-PL"/>
        </w:rPr>
        <w:t>Data i podpis osoby upo</w:t>
      </w:r>
      <w:bookmarkStart w:id="1" w:name="_GoBack"/>
      <w:bookmarkEnd w:id="1"/>
      <w:r w:rsidRPr="00B51D71">
        <w:rPr>
          <w:rFonts w:eastAsia="Times New Roman" w:cstheme="minorHAnsi"/>
          <w:sz w:val="20"/>
          <w:szCs w:val="20"/>
          <w:lang w:eastAsia="pl-PL"/>
        </w:rPr>
        <w:t xml:space="preserve">ważnionej </w:t>
      </w:r>
    </w:p>
    <w:sectPr w:rsidR="00F35225" w:rsidRPr="00B51D71" w:rsidSect="00B51D71">
      <w:pgSz w:w="16838" w:h="11906" w:orient="landscape"/>
      <w:pgMar w:top="709" w:right="1418" w:bottom="993"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3B3D" w16cex:dateUtc="2022-08-04T10:34:00Z"/>
  <w16cex:commentExtensible w16cex:durableId="2696430B" w16cex:dateUtc="2022-08-0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D1FBB" w16cid:durableId="26963B3D"/>
  <w16cid:commentId w16cid:paraId="6909DF82" w16cid:durableId="269643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A052D" w14:textId="77777777" w:rsidR="00DA23D9" w:rsidRDefault="00DA23D9" w:rsidP="00B51D71">
      <w:pPr>
        <w:spacing w:after="0" w:line="240" w:lineRule="auto"/>
      </w:pPr>
      <w:r>
        <w:separator/>
      </w:r>
    </w:p>
  </w:endnote>
  <w:endnote w:type="continuationSeparator" w:id="0">
    <w:p w14:paraId="5E445F00" w14:textId="77777777" w:rsidR="00DA23D9" w:rsidRDefault="00DA23D9" w:rsidP="00B5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B983" w14:textId="13D66165" w:rsidR="00090560" w:rsidRDefault="00090560">
    <w:pPr>
      <w:pStyle w:val="Stopka"/>
      <w:jc w:val="center"/>
    </w:pPr>
    <w:r>
      <w:t xml:space="preserve">Str. </w:t>
    </w:r>
    <w:sdt>
      <w:sdtPr>
        <w:id w:val="198747762"/>
        <w:docPartObj>
          <w:docPartGallery w:val="Page Numbers (Bottom of Page)"/>
          <w:docPartUnique/>
        </w:docPartObj>
      </w:sdtPr>
      <w:sdtEndPr/>
      <w:sdtContent>
        <w:r>
          <w:fldChar w:fldCharType="begin"/>
        </w:r>
        <w:r>
          <w:instrText>PAGE   \* MERGEFORMAT</w:instrText>
        </w:r>
        <w:r>
          <w:fldChar w:fldCharType="separate"/>
        </w:r>
        <w:r w:rsidR="008D1F32">
          <w:rPr>
            <w:noProof/>
          </w:rPr>
          <w:t>7</w:t>
        </w:r>
        <w:r>
          <w:fldChar w:fldCharType="end"/>
        </w:r>
      </w:sdtContent>
    </w:sdt>
  </w:p>
  <w:p w14:paraId="683A182C" w14:textId="77777777" w:rsidR="00B51D71" w:rsidRDefault="00B51D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CA3AF" w14:textId="77777777" w:rsidR="00DA23D9" w:rsidRDefault="00DA23D9" w:rsidP="00B51D71">
      <w:pPr>
        <w:spacing w:after="0" w:line="240" w:lineRule="auto"/>
      </w:pPr>
      <w:r>
        <w:separator/>
      </w:r>
    </w:p>
  </w:footnote>
  <w:footnote w:type="continuationSeparator" w:id="0">
    <w:p w14:paraId="2360B03C" w14:textId="77777777" w:rsidR="00DA23D9" w:rsidRDefault="00DA23D9" w:rsidP="00B5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5742D"/>
    <w:multiLevelType w:val="hybridMultilevel"/>
    <w:tmpl w:val="445C004C"/>
    <w:lvl w:ilvl="0" w:tplc="2366735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6F30BC"/>
    <w:multiLevelType w:val="hybridMultilevel"/>
    <w:tmpl w:val="D8942548"/>
    <w:lvl w:ilvl="0" w:tplc="7D0CB38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F9128B"/>
    <w:multiLevelType w:val="hybridMultilevel"/>
    <w:tmpl w:val="2B42D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FA4408E"/>
    <w:multiLevelType w:val="hybridMultilevel"/>
    <w:tmpl w:val="2B42D9BA"/>
    <w:lvl w:ilvl="0" w:tplc="FFFFFFFF">
      <w:start w:val="1"/>
      <w:numFmt w:val="decimal"/>
      <w:lvlText w:val="%1."/>
      <w:lvlJc w:val="left"/>
      <w:pPr>
        <w:ind w:left="391" w:hanging="360"/>
      </w:p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4" w15:restartNumberingAfterBreak="0">
    <w:nsid w:val="453428B4"/>
    <w:multiLevelType w:val="hybridMultilevel"/>
    <w:tmpl w:val="2B42D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BB05230"/>
    <w:multiLevelType w:val="hybridMultilevel"/>
    <w:tmpl w:val="A1BC27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4F9D0AB3"/>
    <w:multiLevelType w:val="hybridMultilevel"/>
    <w:tmpl w:val="25E65E78"/>
    <w:lvl w:ilvl="0" w:tplc="B7164312">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114773"/>
    <w:multiLevelType w:val="hybridMultilevel"/>
    <w:tmpl w:val="B37040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817AEC"/>
    <w:multiLevelType w:val="hybridMultilevel"/>
    <w:tmpl w:val="2B42D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6C06FAC"/>
    <w:multiLevelType w:val="hybridMultilevel"/>
    <w:tmpl w:val="D568A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5"/>
  </w:num>
  <w:num w:numId="5">
    <w:abstractNumId w:val="1"/>
  </w:num>
  <w:num w:numId="6">
    <w:abstractNumId w:val="4"/>
  </w:num>
  <w:num w:numId="7">
    <w:abstractNumId w:val="8"/>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CD"/>
    <w:rsid w:val="00005412"/>
    <w:rsid w:val="00051C04"/>
    <w:rsid w:val="00090560"/>
    <w:rsid w:val="000F2F27"/>
    <w:rsid w:val="00263388"/>
    <w:rsid w:val="003A115B"/>
    <w:rsid w:val="003C4CCD"/>
    <w:rsid w:val="003D0D4F"/>
    <w:rsid w:val="00411266"/>
    <w:rsid w:val="00445A76"/>
    <w:rsid w:val="00460C02"/>
    <w:rsid w:val="004E4114"/>
    <w:rsid w:val="00513A2A"/>
    <w:rsid w:val="00724486"/>
    <w:rsid w:val="00850D17"/>
    <w:rsid w:val="00863B15"/>
    <w:rsid w:val="008C24F0"/>
    <w:rsid w:val="008D1F32"/>
    <w:rsid w:val="009578A5"/>
    <w:rsid w:val="00973D82"/>
    <w:rsid w:val="00B51D71"/>
    <w:rsid w:val="00C87300"/>
    <w:rsid w:val="00DA23D9"/>
    <w:rsid w:val="00E37619"/>
    <w:rsid w:val="00E82891"/>
    <w:rsid w:val="00F31E92"/>
    <w:rsid w:val="00F35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18C3"/>
  <w15:chartTrackingRefBased/>
  <w15:docId w15:val="{5FC23068-1B0D-433D-9458-B7E92F9D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4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C4CCD"/>
    <w:rPr>
      <w:b/>
      <w:bCs/>
    </w:rPr>
  </w:style>
  <w:style w:type="paragraph" w:customStyle="1" w:styleId="default">
    <w:name w:val="default"/>
    <w:basedOn w:val="Normalny"/>
    <w:rsid w:val="003C4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63B15"/>
    <w:rPr>
      <w:color w:val="0563C1" w:themeColor="hyperlink"/>
      <w:u w:val="single"/>
    </w:rPr>
  </w:style>
  <w:style w:type="character" w:customStyle="1" w:styleId="UnresolvedMention">
    <w:name w:val="Unresolved Mention"/>
    <w:basedOn w:val="Domylnaczcionkaakapitu"/>
    <w:uiPriority w:val="99"/>
    <w:semiHidden/>
    <w:unhideWhenUsed/>
    <w:rsid w:val="00863B15"/>
    <w:rPr>
      <w:color w:val="605E5C"/>
      <w:shd w:val="clear" w:color="auto" w:fill="E1DFDD"/>
    </w:rPr>
  </w:style>
  <w:style w:type="character" w:styleId="Odwoaniedokomentarza">
    <w:name w:val="annotation reference"/>
    <w:basedOn w:val="Domylnaczcionkaakapitu"/>
    <w:uiPriority w:val="99"/>
    <w:semiHidden/>
    <w:unhideWhenUsed/>
    <w:rsid w:val="00863B15"/>
    <w:rPr>
      <w:sz w:val="16"/>
      <w:szCs w:val="16"/>
    </w:rPr>
  </w:style>
  <w:style w:type="paragraph" w:styleId="Tekstkomentarza">
    <w:name w:val="annotation text"/>
    <w:basedOn w:val="Normalny"/>
    <w:link w:val="TekstkomentarzaZnak"/>
    <w:uiPriority w:val="99"/>
    <w:unhideWhenUsed/>
    <w:rsid w:val="00863B15"/>
    <w:pPr>
      <w:spacing w:line="240" w:lineRule="auto"/>
    </w:pPr>
    <w:rPr>
      <w:sz w:val="20"/>
      <w:szCs w:val="20"/>
    </w:rPr>
  </w:style>
  <w:style w:type="character" w:customStyle="1" w:styleId="TekstkomentarzaZnak">
    <w:name w:val="Tekst komentarza Znak"/>
    <w:basedOn w:val="Domylnaczcionkaakapitu"/>
    <w:link w:val="Tekstkomentarza"/>
    <w:uiPriority w:val="99"/>
    <w:rsid w:val="00863B15"/>
    <w:rPr>
      <w:sz w:val="20"/>
      <w:szCs w:val="20"/>
    </w:rPr>
  </w:style>
  <w:style w:type="paragraph" w:styleId="Tematkomentarza">
    <w:name w:val="annotation subject"/>
    <w:basedOn w:val="Tekstkomentarza"/>
    <w:next w:val="Tekstkomentarza"/>
    <w:link w:val="TematkomentarzaZnak"/>
    <w:uiPriority w:val="99"/>
    <w:semiHidden/>
    <w:unhideWhenUsed/>
    <w:rsid w:val="00863B15"/>
    <w:rPr>
      <w:b/>
      <w:bCs/>
    </w:rPr>
  </w:style>
  <w:style w:type="character" w:customStyle="1" w:styleId="TematkomentarzaZnak">
    <w:name w:val="Temat komentarza Znak"/>
    <w:basedOn w:val="TekstkomentarzaZnak"/>
    <w:link w:val="Tematkomentarza"/>
    <w:uiPriority w:val="99"/>
    <w:semiHidden/>
    <w:rsid w:val="00863B15"/>
    <w:rPr>
      <w:b/>
      <w:bCs/>
      <w:sz w:val="20"/>
      <w:szCs w:val="20"/>
    </w:rPr>
  </w:style>
  <w:style w:type="table" w:styleId="Tabela-Siatka">
    <w:name w:val="Table Grid"/>
    <w:basedOn w:val="Standardowy"/>
    <w:uiPriority w:val="39"/>
    <w:rsid w:val="00F35225"/>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51D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1D71"/>
  </w:style>
  <w:style w:type="paragraph" w:styleId="Stopka">
    <w:name w:val="footer"/>
    <w:basedOn w:val="Normalny"/>
    <w:link w:val="StopkaZnak"/>
    <w:uiPriority w:val="99"/>
    <w:unhideWhenUsed/>
    <w:rsid w:val="00B51D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D71"/>
  </w:style>
  <w:style w:type="paragraph" w:styleId="Tekstdymka">
    <w:name w:val="Balloon Text"/>
    <w:basedOn w:val="Normalny"/>
    <w:link w:val="TekstdymkaZnak"/>
    <w:uiPriority w:val="99"/>
    <w:semiHidden/>
    <w:unhideWhenUsed/>
    <w:rsid w:val="008D1F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3397">
      <w:bodyDiv w:val="1"/>
      <w:marLeft w:val="0"/>
      <w:marRight w:val="0"/>
      <w:marTop w:val="0"/>
      <w:marBottom w:val="0"/>
      <w:divBdr>
        <w:top w:val="none" w:sz="0" w:space="0" w:color="auto"/>
        <w:left w:val="none" w:sz="0" w:space="0" w:color="auto"/>
        <w:bottom w:val="none" w:sz="0" w:space="0" w:color="auto"/>
        <w:right w:val="none" w:sz="0" w:space="0" w:color="auto"/>
      </w:divBdr>
      <w:divsChild>
        <w:div w:id="787310810">
          <w:marLeft w:val="0"/>
          <w:marRight w:val="0"/>
          <w:marTop w:val="0"/>
          <w:marBottom w:val="0"/>
          <w:divBdr>
            <w:top w:val="none" w:sz="0" w:space="0" w:color="auto"/>
            <w:left w:val="none" w:sz="0" w:space="0" w:color="auto"/>
            <w:bottom w:val="single" w:sz="8" w:space="1" w:color="auto"/>
            <w:right w:val="none" w:sz="0" w:space="0" w:color="auto"/>
          </w:divBdr>
        </w:div>
        <w:div w:id="338193906">
          <w:marLeft w:val="0"/>
          <w:marRight w:val="0"/>
          <w:marTop w:val="0"/>
          <w:marBottom w:val="0"/>
          <w:divBdr>
            <w:top w:val="none" w:sz="0" w:space="0" w:color="auto"/>
            <w:left w:val="none" w:sz="0" w:space="0" w:color="auto"/>
            <w:bottom w:val="single" w:sz="8" w:space="1" w:color="auto"/>
            <w:right w:val="none" w:sz="0" w:space="0" w:color="auto"/>
          </w:divBdr>
        </w:div>
        <w:div w:id="2058158603">
          <w:marLeft w:val="0"/>
          <w:marRight w:val="0"/>
          <w:marTop w:val="0"/>
          <w:marBottom w:val="0"/>
          <w:divBdr>
            <w:top w:val="none" w:sz="0" w:space="0" w:color="auto"/>
            <w:left w:val="none" w:sz="0" w:space="0" w:color="auto"/>
            <w:bottom w:val="single" w:sz="8" w:space="1" w:color="auto"/>
            <w:right w:val="none" w:sz="0" w:space="0" w:color="auto"/>
          </w:divBdr>
        </w:div>
        <w:div w:id="1640260904">
          <w:marLeft w:val="0"/>
          <w:marRight w:val="0"/>
          <w:marTop w:val="0"/>
          <w:marBottom w:val="0"/>
          <w:divBdr>
            <w:top w:val="none" w:sz="0" w:space="0" w:color="auto"/>
            <w:left w:val="none" w:sz="0" w:space="0" w:color="auto"/>
            <w:bottom w:val="single" w:sz="8" w:space="1" w:color="auto"/>
            <w:right w:val="none" w:sz="0" w:space="0" w:color="auto"/>
          </w:divBdr>
        </w:div>
        <w:div w:id="1373111900">
          <w:marLeft w:val="0"/>
          <w:marRight w:val="0"/>
          <w:marTop w:val="0"/>
          <w:marBottom w:val="0"/>
          <w:divBdr>
            <w:top w:val="none" w:sz="0" w:space="0" w:color="auto"/>
            <w:left w:val="none" w:sz="0" w:space="0" w:color="auto"/>
            <w:bottom w:val="single" w:sz="8" w:space="1" w:color="auto"/>
            <w:right w:val="none" w:sz="0" w:space="0" w:color="auto"/>
          </w:divBdr>
        </w:div>
        <w:div w:id="264924212">
          <w:marLeft w:val="0"/>
          <w:marRight w:val="0"/>
          <w:marTop w:val="0"/>
          <w:marBottom w:val="0"/>
          <w:divBdr>
            <w:top w:val="none" w:sz="0" w:space="0" w:color="auto"/>
            <w:left w:val="none" w:sz="0" w:space="0" w:color="auto"/>
            <w:bottom w:val="single" w:sz="8" w:space="1" w:color="auto"/>
            <w:right w:val="none" w:sz="0" w:space="0" w:color="auto"/>
          </w:divBdr>
        </w:div>
      </w:divsChild>
    </w:div>
    <w:div w:id="908736308">
      <w:bodyDiv w:val="1"/>
      <w:marLeft w:val="0"/>
      <w:marRight w:val="0"/>
      <w:marTop w:val="0"/>
      <w:marBottom w:val="0"/>
      <w:divBdr>
        <w:top w:val="none" w:sz="0" w:space="0" w:color="auto"/>
        <w:left w:val="none" w:sz="0" w:space="0" w:color="auto"/>
        <w:bottom w:val="none" w:sz="0" w:space="0" w:color="auto"/>
        <w:right w:val="none" w:sz="0" w:space="0" w:color="auto"/>
      </w:divBdr>
    </w:div>
    <w:div w:id="1374380836">
      <w:bodyDiv w:val="1"/>
      <w:marLeft w:val="0"/>
      <w:marRight w:val="0"/>
      <w:marTop w:val="0"/>
      <w:marBottom w:val="0"/>
      <w:divBdr>
        <w:top w:val="none" w:sz="0" w:space="0" w:color="auto"/>
        <w:left w:val="none" w:sz="0" w:space="0" w:color="auto"/>
        <w:bottom w:val="none" w:sz="0" w:space="0" w:color="auto"/>
        <w:right w:val="none" w:sz="0" w:space="0" w:color="auto"/>
      </w:divBdr>
      <w:divsChild>
        <w:div w:id="1237203524">
          <w:marLeft w:val="0"/>
          <w:marRight w:val="0"/>
          <w:marTop w:val="0"/>
          <w:marBottom w:val="0"/>
          <w:divBdr>
            <w:top w:val="none" w:sz="0" w:space="0" w:color="auto"/>
            <w:left w:val="none" w:sz="0" w:space="0" w:color="auto"/>
            <w:bottom w:val="single" w:sz="8" w:space="1" w:color="auto"/>
            <w:right w:val="none" w:sz="0" w:space="0" w:color="auto"/>
          </w:divBdr>
        </w:div>
        <w:div w:id="1725367429">
          <w:marLeft w:val="0"/>
          <w:marRight w:val="0"/>
          <w:marTop w:val="0"/>
          <w:marBottom w:val="0"/>
          <w:divBdr>
            <w:top w:val="none" w:sz="0" w:space="0" w:color="auto"/>
            <w:left w:val="none" w:sz="0" w:space="0" w:color="auto"/>
            <w:bottom w:val="single" w:sz="8" w:space="1" w:color="auto"/>
            <w:right w:val="none" w:sz="0" w:space="0" w:color="auto"/>
          </w:divBdr>
        </w:div>
        <w:div w:id="1769736141">
          <w:marLeft w:val="0"/>
          <w:marRight w:val="0"/>
          <w:marTop w:val="0"/>
          <w:marBottom w:val="0"/>
          <w:divBdr>
            <w:top w:val="none" w:sz="0" w:space="0" w:color="auto"/>
            <w:left w:val="none" w:sz="0" w:space="0" w:color="auto"/>
            <w:bottom w:val="single" w:sz="8" w:space="1" w:color="auto"/>
            <w:right w:val="none" w:sz="0" w:space="0" w:color="auto"/>
          </w:divBdr>
        </w:div>
        <w:div w:id="1278755433">
          <w:marLeft w:val="0"/>
          <w:marRight w:val="0"/>
          <w:marTop w:val="0"/>
          <w:marBottom w:val="0"/>
          <w:divBdr>
            <w:top w:val="none" w:sz="0" w:space="0" w:color="auto"/>
            <w:left w:val="none" w:sz="0" w:space="0" w:color="auto"/>
            <w:bottom w:val="single" w:sz="8" w:space="1" w:color="auto"/>
            <w:right w:val="none" w:sz="0" w:space="0" w:color="auto"/>
          </w:divBdr>
        </w:div>
        <w:div w:id="1681736635">
          <w:marLeft w:val="0"/>
          <w:marRight w:val="0"/>
          <w:marTop w:val="0"/>
          <w:marBottom w:val="0"/>
          <w:divBdr>
            <w:top w:val="none" w:sz="0" w:space="0" w:color="auto"/>
            <w:left w:val="none" w:sz="0" w:space="0" w:color="auto"/>
            <w:bottom w:val="single" w:sz="8" w:space="1" w:color="auto"/>
            <w:right w:val="none" w:sz="0" w:space="0" w:color="auto"/>
          </w:divBdr>
        </w:div>
        <w:div w:id="174124778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wiat-mielecki.pl/dla-mieszkancow/tablica-oglosz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sloka.p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konsultacjewisloka.webankieta.pl/" TargetMode="External"/><Relationship Id="rId4" Type="http://schemas.openxmlformats.org/officeDocument/2006/relationships/settings" Target="settings.xml"/><Relationship Id="rId9" Type="http://schemas.openxmlformats.org/officeDocument/2006/relationships/hyperlink" Target="https://bip.powiat-mielecki.pl/dla-mieszkancow/tablica-ogloszen/srp-dw-2030-487.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7C42-42BE-4A47-8626-16711B03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2902</Words>
  <Characters>17418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Ratuszniak</dc:creator>
  <cp:keywords/>
  <dc:description/>
  <cp:lastModifiedBy>MAGDALENA.BIELASKA</cp:lastModifiedBy>
  <cp:revision>2</cp:revision>
  <dcterms:created xsi:type="dcterms:W3CDTF">2022-08-04T12:57:00Z</dcterms:created>
  <dcterms:modified xsi:type="dcterms:W3CDTF">2022-08-04T12:57:00Z</dcterms:modified>
</cp:coreProperties>
</file>