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BF2ECE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217F95" w:rsidRPr="00217F95">
        <w:rPr>
          <w:rFonts w:ascii="Arial" w:eastAsia="Times New Roman" w:hAnsi="Arial" w:cs="Arial"/>
          <w:b/>
          <w:sz w:val="21"/>
          <w:szCs w:val="21"/>
          <w:lang w:eastAsia="pl-PL"/>
        </w:rPr>
        <w:t>Dostaw</w:t>
      </w:r>
      <w:r w:rsidR="00FC1BE0">
        <w:rPr>
          <w:rFonts w:ascii="Arial" w:eastAsia="Times New Roman" w:hAnsi="Arial" w:cs="Arial"/>
          <w:b/>
          <w:sz w:val="21"/>
          <w:szCs w:val="21"/>
          <w:lang w:eastAsia="pl-PL"/>
        </w:rPr>
        <w:t>a ultrasonografu wraz z wyposaże</w:t>
      </w:r>
      <w:r w:rsidR="00217F95" w:rsidRPr="00217F95">
        <w:rPr>
          <w:rFonts w:ascii="Arial" w:eastAsia="Times New Roman" w:hAnsi="Arial" w:cs="Arial"/>
          <w:b/>
          <w:sz w:val="21"/>
          <w:szCs w:val="21"/>
          <w:lang w:eastAsia="pl-PL"/>
        </w:rPr>
        <w:t>niem</w:t>
      </w:r>
      <w:r w:rsidR="007B5FB1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7B5FB1">
        <w:rPr>
          <w:rFonts w:ascii="Arial" w:eastAsia="Times New Roman" w:hAnsi="Arial" w:cs="Arial"/>
          <w:b/>
          <w:sz w:val="21"/>
          <w:szCs w:val="21"/>
          <w:lang w:eastAsia="pl-PL"/>
        </w:rPr>
        <w:t>27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571B96" w:rsidRPr="00AA7697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232833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232833">
        <w:t>:</w:t>
      </w: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232833" w:rsidRDefault="00AA7697" w:rsidP="007B5FB1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7B5FB1" w:rsidRPr="007B5FB1" w:rsidRDefault="007B5FB1" w:rsidP="007B5FB1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04602F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>
        <w:rPr>
          <w:rFonts w:ascii="Arial" w:hAnsi="Arial" w:cs="Arial"/>
        </w:rPr>
        <w:t xml:space="preserve">maksymalnym </w:t>
      </w:r>
      <w:r w:rsidRPr="00AA7697">
        <w:rPr>
          <w:rFonts w:ascii="Arial" w:hAnsi="Arial" w:cs="Arial"/>
        </w:rPr>
        <w:t>ter</w:t>
      </w:r>
      <w:r w:rsidRPr="0004602F">
        <w:rPr>
          <w:rFonts w:ascii="Arial" w:hAnsi="Arial" w:cs="Arial"/>
        </w:rPr>
        <w:t xml:space="preserve">minie do </w:t>
      </w:r>
      <w:r w:rsidR="00A40BA8" w:rsidRPr="0004602F">
        <w:rPr>
          <w:rFonts w:ascii="Arial" w:hAnsi="Arial" w:cs="Arial"/>
        </w:rPr>
        <w:t xml:space="preserve">dnia </w:t>
      </w:r>
      <w:r w:rsidR="007B5FB1">
        <w:rPr>
          <w:rFonts w:ascii="Arial" w:hAnsi="Arial" w:cs="Arial"/>
        </w:rPr>
        <w:t>2</w:t>
      </w:r>
      <w:r w:rsidR="00FB1003" w:rsidRPr="0004602F">
        <w:rPr>
          <w:rFonts w:ascii="Arial" w:hAnsi="Arial" w:cs="Arial"/>
        </w:rPr>
        <w:t xml:space="preserve">8 </w:t>
      </w:r>
      <w:r w:rsidR="007B5FB1">
        <w:rPr>
          <w:rFonts w:ascii="Arial" w:hAnsi="Arial" w:cs="Arial"/>
        </w:rPr>
        <w:t>listopada 2019</w:t>
      </w:r>
      <w:r w:rsidRPr="0004602F">
        <w:rPr>
          <w:rFonts w:ascii="Arial" w:hAnsi="Arial" w:cs="Arial"/>
        </w:rPr>
        <w:t xml:space="preserve"> r.</w:t>
      </w:r>
      <w:r w:rsidR="00F45AB2">
        <w:rPr>
          <w:rFonts w:ascii="Arial" w:hAnsi="Arial" w:cs="Arial"/>
        </w:rPr>
        <w:t xml:space="preserve"> </w:t>
      </w:r>
    </w:p>
    <w:p w:rsidR="00AA7697" w:rsidRPr="00AA7697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p w:rsidR="007B5FB1" w:rsidRDefault="007B5FB1" w:rsidP="007B5FB1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50"/>
        <w:gridCol w:w="8329"/>
      </w:tblGrid>
      <w:tr w:rsidR="007B5FB1" w:rsidTr="00771EC4">
        <w:tc>
          <w:tcPr>
            <w:tcW w:w="250" w:type="dxa"/>
            <w:tcBorders>
              <w:bottom w:val="single" w:sz="4" w:space="0" w:color="auto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miesięcy.</w:t>
            </w:r>
          </w:p>
        </w:tc>
      </w:tr>
      <w:tr w:rsidR="007B5FB1" w:rsidTr="00771EC4">
        <w:tc>
          <w:tcPr>
            <w:tcW w:w="250" w:type="dxa"/>
            <w:tcBorders>
              <w:left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B5FB1" w:rsidTr="00771EC4">
        <w:tc>
          <w:tcPr>
            <w:tcW w:w="250" w:type="dxa"/>
            <w:tcBorders>
              <w:bottom w:val="single" w:sz="4" w:space="0" w:color="auto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AA7697">
              <w:rPr>
                <w:rFonts w:ascii="Arial" w:hAnsi="Arial" w:cs="Arial"/>
              </w:rPr>
              <w:t xml:space="preserve"> miesięcy.</w:t>
            </w:r>
          </w:p>
        </w:tc>
      </w:tr>
      <w:tr w:rsidR="007B5FB1" w:rsidTr="00771EC4">
        <w:tc>
          <w:tcPr>
            <w:tcW w:w="250" w:type="dxa"/>
            <w:tcBorders>
              <w:left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B5FB1" w:rsidTr="00771EC4">
        <w:tc>
          <w:tcPr>
            <w:tcW w:w="250" w:type="dxa"/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FB1003">
              <w:rPr>
                <w:rFonts w:ascii="Arial" w:hAnsi="Arial" w:cs="Arial"/>
              </w:rPr>
              <w:t xml:space="preserve"> miesięcy.</w:t>
            </w:r>
          </w:p>
        </w:tc>
      </w:tr>
    </w:tbl>
    <w:p w:rsidR="007B5FB1" w:rsidRPr="00AA7697" w:rsidRDefault="007B5FB1" w:rsidP="007B5FB1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7B5FB1" w:rsidRDefault="007B5FB1" w:rsidP="00217F9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Oferowany Przedmiot zamówienia spełnia następujące parametry:</w:t>
      </w:r>
    </w:p>
    <w:tbl>
      <w:tblPr>
        <w:tblW w:w="10351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8"/>
        <w:gridCol w:w="4281"/>
        <w:gridCol w:w="1105"/>
        <w:gridCol w:w="4253"/>
      </w:tblGrid>
      <w:tr w:rsidR="00716E23" w:rsidTr="00217F95">
        <w:trPr>
          <w:trHeight w:val="567"/>
        </w:trPr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A51CA1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Wymagania techniczne aparatu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71EC4" w:rsidP="00771EC4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E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16E23" w:rsidP="00A51C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Oferowany parametr </w:t>
            </w:r>
          </w:p>
          <w:p w:rsidR="00716E23" w:rsidRPr="00771EC4" w:rsidRDefault="00716E23" w:rsidP="00771EC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podać </w:t>
            </w:r>
            <w:r w:rsidR="00CF24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i/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lub opisać*</w:t>
            </w:r>
          </w:p>
        </w:tc>
      </w:tr>
      <w:tr w:rsidR="00716E23" w:rsidTr="00771EC4">
        <w:trPr>
          <w:trHeight w:val="39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A51CA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B2F2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Nazwa i typ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A51CA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Pr="001B2F2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Kraj pochodzenia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A51CA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B2F2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Aparat nowy, nie demonstracyjny, nie powystawowy, rok produkcji 2019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716E23" w:rsidRPr="001B2F24" w:rsidRDefault="00716E23" w:rsidP="00771EC4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1EC4" w:rsidTr="00771EC4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71EC4" w:rsidP="00771EC4">
            <w:pPr>
              <w:pStyle w:val="Standard"/>
              <w:snapToGrid w:val="0"/>
              <w:ind w:left="-20" w:firstLine="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Konstrukcja i konfiguracja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Liczba procesowych cyfrowych kanałów przetwarzania min.  4 700 000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Monitor kolorowy LCD, min. 23” o rozdzielczości min. 1920x1080 px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wyświetlania obrazu diagnostycznego na min. 70 % wielkości ekranu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zmiany wysokości monitora niezależnie od konsoli aparatu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Monitor umieszczony na ruchomym wysięgniku, regulacja lewo-prawo (min.+/- 180°), góra-dół (min.15 cm), pochył przód-tył (min.+/-45°)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Min. 4 aktywne  gniazda do przyłączenia głowic obrazowych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Panel dotykowy min. 12” wspomagający obsługę aparatu pozwalający na zmianę parametrów za pomocą dotyku (jak w tablecie)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Panel sterowania umieszczony na ruchomym wysięgniku zapewniającym regulację położenia góra/dół i obrót min. +/-170° z pozycji środkowej w obu kierunkach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Liczba obrazów pamięci dynamicznej (cineloop)  dla CD i obrazu 2D min. 2000 klatek oraz zapis Dopplera min. 45 sekund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Dynamika aparatu  min. 320 dB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Wewnętrzny dysk twardy ultrasonografu min. 500 GB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Nagrywarka DVD-R/RW oraz porty USB wbudowane w aparat pozwalające na zapis eksportowanych danych w formatach min.  DICOM, AVI, JPG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Zakres częstotliwości pracy ultrasonografu min. 1.0 MHz do 22.0 MHz (określony pracą głowic możliwych do podłączenia)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Możliwość zmiany wysokości konsoli min. 25 cm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Videoprinter medyczny czarno-biały małego formatu, zintegrowany z aparatem, sterowany z konsoli aparatu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 xml:space="preserve">Fabrycznie zainstalowane zasilanie bateryjne pozwalające na wprowadzenie systemu w stan uśpienia, a następnie wybudzenie go w czasie maks. 30 sek. oraz przewożenie systemu w stanie uśpienia, bez konieczności wyłączania aparatu. </w:t>
            </w: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Pozwalające ponadto na regulację konsoli po odłączeniu od źródła zasilania.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1EC4" w:rsidTr="000129F3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71EC4" w:rsidP="00771EC4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Obrazowanie i prezentacja obrazu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Zakres głębokości penetracji do min. 40 cm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harmoniczne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harmoniczne z odwróceniem impulsu (tzw. inwersja fazy)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Częstotliwość odświeżania obrazu 2D min. 2700 Hz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trapezoidalne na głowicach liniowych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Doppler pulsacyjny (PWD) rejestrowane prędkości maksymalne (przy zerowym kącie bramki) min. od -9,9 m/s do 0 oraz od 0 do +9,9 m/s;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Color Doppler (CD) rejestrowane prędkości maksymalne min. -300 cm/s do 0 oraz 0 do +300 cm/s.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Power Doppler (PD); Power Doppler z oznaczeniem kierunku przepływu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Tekstdymka1"/>
              <w:snapToGrid w:val="0"/>
              <w:jc w:val="center"/>
              <w:rPr>
                <w:rFonts w:ascii="Arial" w:hAnsi="Arial" w:cs="Arial"/>
              </w:rPr>
            </w:pPr>
            <w:r w:rsidRPr="001B2F24">
              <w:rPr>
                <w:rFonts w:ascii="Arial" w:hAnsi="Arial" w:cs="Arial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Tekstdymka1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Regulacja wielkości bramki Dopplerowskiej (SV)</w:t>
            </w:r>
          </w:p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Min. 0,5-20 mm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Tekstdymka1"/>
              <w:snapToGrid w:val="0"/>
              <w:jc w:val="center"/>
              <w:rPr>
                <w:rFonts w:ascii="Arial" w:hAnsi="Arial" w:cs="Arial"/>
              </w:rPr>
            </w:pPr>
            <w:r w:rsidRPr="001B2F24">
              <w:rPr>
                <w:rFonts w:ascii="Arial" w:hAnsi="Arial" w:cs="Arial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Tekstdymka1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2F24">
              <w:rPr>
                <w:rFonts w:ascii="Arial" w:hAnsi="Arial" w:cs="Arial"/>
                <w:sz w:val="16"/>
                <w:szCs w:val="16"/>
                <w:lang w:val="en-US"/>
              </w:rPr>
              <w:t>Tryb Triplex  (B+ CD/PD + PWD)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panoramiczne wykonywane w czasie rzeczywistym bezpośrednio na aparacie, na głowicach liniowych oraz głowicy brzusznej typu convex z możliwością wykonywania pomiarów na powstałym obrazie.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3D radiologiczne z analizą MPR.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Jednoczesne wyświetlanie na ekranie dwóch obrazów w czasie rzeczywistym jeden standardowy B-mode drugi obraz  B-mode + Color Doppler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 xml:space="preserve">Specjalistyczne oprogramowanie wraz z </w:t>
            </w:r>
            <w:r w:rsidRPr="001B2F24">
              <w:rPr>
                <w:rFonts w:ascii="Arial" w:hAnsi="Arial" w:cs="Arial"/>
                <w:sz w:val="16"/>
                <w:szCs w:val="16"/>
              </w:rPr>
              <w:t>pełnymi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 xml:space="preserve"> pakietami pomiarowymi do badań min.:</w:t>
            </w:r>
            <w:r w:rsidRPr="001B2F24">
              <w:rPr>
                <w:rFonts w:ascii="Arial" w:hAnsi="Arial" w:cs="Arial"/>
                <w:sz w:val="16"/>
                <w:szCs w:val="16"/>
              </w:rPr>
              <w:t xml:space="preserve"> radiologicznych (min. jama brzuszna, tkanki miękkie, powierzchniowe, mięśniowo-szkieletowe), radiologicznych pediatrycznych, naczyniowych, urologicznych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>, ginekologiczno-położniczych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1EC4" w:rsidTr="003A6A91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71EC4" w:rsidP="00771EC4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Funkcje użytkowe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Powiększenie obrazu w czasie rzeczywistym min. 8x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Funkcja ciągłego automatycznego optymalizowania obrazu 2D uruchamiana przy pomocy jednego przycisku (m.in. automatyczne dopasowanie wzmocnienia obrazu)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Praca w trybie  wielokierunkowego emitowania i składania wiązki ultradźwiękowej z głowic w pełni elektronicznych, z min. 9 kątami emitowania wiązki tworzącymi obraz 2D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TAK/opisać</w:t>
            </w:r>
          </w:p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Praca w trybie wielokierunkowego emitowania i składania wiązki ultradźwiękowej na wszystkich zaoferowanych głowicach typu convex, oraz liniowych.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Praca w trybie wielokierunkowego emitowania i składania wiązki ultradźwiękowej dla trybu 2D oraz w trybie obrazowania harmonicznego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Adaptacyjne przetwarzanie obrazu redukujące artefakty i szumy, np. SRI lub równoważne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Automatyczny obrys spektrum i wyznaczanie parametrów  przepływu na zatrzymanym spektrum oraz w czasie rzeczywistym na ruchomym spektrum (min. S, D, PI,RI, HR)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Funkcja automatycznego ustawiania parametrów bramki dopplerowskiej w naczyniu (wstawianie bramki, korekcja kąta i kierunku) uruchamiana za pomocą jednego przycisku.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Automatyczny pomiar kompleksu Intima Media z możliwością przypisywania do raportu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Zaawansowane rozszerzone obrazowanie Dopplerowskie do wykrywania bardzo wolnych i słabych przepływów w mikronaczyniach i tkankach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Możliwość przesunięcia linii bazowej na zatrzymanym spektrum Dopplera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Możliwość zaprogramowania w aparacie nowych pomiarów oraz kalkulacji w aplikacjach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Pomiar odległości, min. 8 pomiarów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Aktywny protokół komunikacji DICOM 3.0 do przesyłania obrazów i danych min. klasy DICOM PRINT STORE, WORKLIST, raporty strukturalne (SR)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Aktywna funkcja komunikacji DICOM umożliwiająca pobierania danych z wielu metod obrazowania (umożliwiająca wyświetlanie obrazów DICOM CT, mammograficznych,MRI i USG —w celu przeglądania tych obrazów w czasie obrazowania w celu bezpośredniego porównania)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1EC4" w:rsidTr="00BE118C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71EC4" w:rsidP="00771EC4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Głowice ultradźwiękowe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Głowica convex wykonana w technologii ukierunkowanej polaryzacji kryształów lub matrycowej (min. 300 elementów akustycznych); szerokopasmowa o zakresie częstotliwości (emitowanych) min.  1.0 – 6.0 MHz  (+/- 1 MHz), Kąt widzenia min.  110°; obrazowanie harmoniczne. Możliwość zastosowania przystawki biopsyjnej.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sz w:val="16"/>
                <w:szCs w:val="16"/>
              </w:rPr>
              <w:t>Głowica liniowa szerokopasmowa o zakresie częstotliwości  emitowanych min. 2.0 – 12.0 MHz (+/- 1 MHz); obrazowanie harmoniczne; liczba elementów akustycznych  min. 300; Długość czoła głowicy (FOV) max. 39 mm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Głowica konweksowa (microconvex) szerokopasmowa do badań pediatrycznych o zakresie częstotliwości emitowanych min. 4.0 – 8.0 MHz (+/- 1 MHz),; liczba elementów akustycznych min. 250; Kąt widzenia min. 120°;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6B35A8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Głowica liniowa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 xml:space="preserve"> wysokiej częstotliwości, wykonana w technologii ukierunkowanej polaryzacji kryształów lub matrycowej, szerokopasmowa o zakresie częstotliwości min. 3.0 – 18.0 MHz (+/- 1MHz); liczba elementów akustycznych min. 1900; długość głowicy (FOV)  min. 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35A8" w:rsidTr="00644AA3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5A8" w:rsidRDefault="006B35A8" w:rsidP="006B35A8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35A8">
              <w:rPr>
                <w:rFonts w:ascii="Arial" w:hAnsi="Arial" w:cs="Arial"/>
                <w:b/>
                <w:sz w:val="16"/>
                <w:szCs w:val="16"/>
              </w:rPr>
              <w:t>Możliwość rozbudowy systemu dostępna na dzień składania oferty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o: Głowica przezprzełykowa matrycowa; zakres pracy min. 2-7 MHz, min. 2400 elementów. Tryby pracy głowicy min.: 2D, PW Doppler, CW Doppler, obrazowanie harmoniczne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 głowicę przezprzełykową pediatryczną zakres pracy min. 3-7 MHz, ilość elementów min. 48, rotacja głowicy min. 0-180°, tryby pracy: 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>2D, Color Doppler, PW Doppler, CW Doppler, obrazowanie harmoniczne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>Możliwość rozbudowy o głowicę przezprzełykową pediatryczną wielopłaszczyznową z rotacją 0-180°, zakres pracy min. 3-8 MHz, Główka głowicy o wymiarach maksymalnych 8x6mm,  grubość endoskopu maks. 6 mm.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rozbudowy: Głowica sektorowa neonatologiczna szerokopasmowa, o zakresie częstotliwości emitowanych min. 4.0 MHz -12.0 MHz; obrazowanie harmoniczne; kąt widzenia min. 90°; 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>(ilość elementów min. 90)</w:t>
            </w:r>
          </w:p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Tryby pracy min. 2D, Color Doppler, PW Doppler, CW Doppler, Doppler tkankowy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rozbudowy: Głowica sektorowa pediatryczna szerokopasmowa, o zakresie częstotliwości emitowanych min. 3.0 MHz -8.0 MHz; obrazowanie harmoniczne; kąt widzenia min. 90°; 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>(ilość elementów min. 90)</w:t>
            </w:r>
          </w:p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Tryby pracy min. 2D, Color Doppler, PW Doppler, CW Doppler, Doppler tkankowy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rozbudowy: </w:t>
            </w: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Głowica liniowa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 xml:space="preserve"> wysokiej częstotliwości, szerokopasmowa o zakresie częstotliwości min. 4.0 – 18.0 MHz (+/- 1 MHz); obrazowanie harmoniczne; liczba elementów akustycznych min. 500; długość głowicy (FOV)  38 mm ( +/- 1 mm 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rozbudowy: </w:t>
            </w:r>
            <w:r w:rsidRPr="001B2F24">
              <w:rPr>
                <w:rFonts w:ascii="Arial" w:hAnsi="Arial" w:cs="Arial"/>
                <w:iCs/>
                <w:sz w:val="16"/>
                <w:szCs w:val="16"/>
              </w:rPr>
              <w:t>Głowica sektorowa do badań kardiologicznych wykonana w technologii ukierunkowanej polaryzacji kryształów (ilość elementów min. 80) lub w technologii matrycowej (min. 690 elementów); szerokopasmowa, o zakresie częstotliwości emitowanych min. 1.0 MHz -5.0 MHz; obrazowanie harmoniczne; kąt widzenia min. 90°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opcję łączenia (fuzji) żywych obrazów ultrasonograficznych z dostępnymi z pamięci ultrasonografu danymi obrazowymi z CT, MRI, PET/CT oraz funkcja nawigacji narzędzi interwencyjnych (np. igła biopsyjna) wraz ze śledzeniem toru prowadzenia igły i oznaczeniem na obrazie celu interwencji (target)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o: Doppler fali ciągłej o rejestrowanych i wyświetlanych prędkościach min. od -25 m/s do 0 oraz od 0 do +25 m/s (przy zerowym kącie bramki);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>Doppler tkankowy kolorowy oraz spektralny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>Anatomiczny M-mode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o: Elastografia z pełną kwantyfikacją ilościową i jakościową oparta na technologii strain na min. jednej głowicy liniowej z możliwością pomiaru względnej sztywności tkanki (ratio) miejsca zmienionego do tkanki referencyjnej.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o: Elastografia typu Shear Wave do zastosowanie w badaniach brzusznych na głowicy konweksowej z mapowaniem kolorem z regulowaną wielkością bramki, w tym min. opcja do oceny włóknienia wątroby umożliwiająca wykonanie min. 10 przypisanych pomiarów z możliwością wybrania jednostki pomiaru w kPa lub m/s i z możliwością uzyskania średniej pomiarów. Możliwość włączenia mapy potwierdzającej pewność wykonywanego badania.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opcję badania z zastosowaniem ultrasonograficznych środków kontrastujących w badaniach radiologicznych. Badania z zastosowaniem ultrasonograficznych środków kontrastujących dostępne łącznie z technologią  wielokierunkowego nadawania i odbierania wiązki ultradźwiękowej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zaawansowane oprogramowanie w aparacie do oceny min.:</w:t>
            </w:r>
          </w:p>
          <w:p w:rsidR="00716E23" w:rsidRPr="001B2F24" w:rsidRDefault="00716E23" w:rsidP="00771EC4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pomiaru amplitudy ruchu pierścienia zastawki mitralnej (TMAD) do śledzenia i obliczania krzywych odkształceń pierścienia zastawki mitralnej oraz innych zastawek w funkcji czasu</w:t>
            </w:r>
          </w:p>
          <w:p w:rsidR="00716E23" w:rsidRPr="001B2F24" w:rsidRDefault="00716E23" w:rsidP="00771EC4">
            <w:pPr>
              <w:pStyle w:val="Default"/>
              <w:numPr>
                <w:ilvl w:val="0"/>
                <w:numId w:val="10"/>
              </w:num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Oprogramowanie kardiologiczne do obiektywnej oceny globalnej lewej komory i odcinkowej ruchomości ścian za pomocą technologii śledzenia markerów akustycznych w trybie B-mode (tzw. speckle tracking). Min. ocena i generowania wyników obliczeń globalnej i regionalnych funkcji lewej komory serca, oraz ich prezentowanie w postaci tabeli oraz 17-segmentowego wykresu tarczowego (tzw. „oko byka“)</w:t>
            </w:r>
          </w:p>
          <w:p w:rsidR="00716E23" w:rsidRPr="001B2F24" w:rsidRDefault="00716E23" w:rsidP="00771EC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Oprogramowanie w aparacie zawierające analizę Strain i Strain Rate z badań wykonanych w trybie kolorowego Dopplera tkankowego wysokiej rozdzielczości</w:t>
            </w:r>
          </w:p>
          <w:p w:rsidR="00716E23" w:rsidRPr="001B2F24" w:rsidRDefault="00716E23" w:rsidP="00771EC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Oprogramowanie do w pełni automatycznego wyznaczania objętości lewej komory bazujące na technologii speckle tracking</w:t>
            </w:r>
          </w:p>
          <w:p w:rsidR="00716E23" w:rsidRPr="001B2F24" w:rsidRDefault="00716E23" w:rsidP="00771EC4">
            <w:pPr>
              <w:pStyle w:val="Standard"/>
              <w:numPr>
                <w:ilvl w:val="0"/>
                <w:numId w:val="10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Oprogramowanie do prób wysiłkowych Stress Echo oraz oprogramowanie do kardiologicznego badania LVO z użyciem środków kontrastujących o niskim indeksie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r w:rsidRPr="001B2F24">
              <w:rPr>
                <w:rFonts w:ascii="Arial" w:hAnsi="Arial" w:cs="Arial"/>
                <w:iCs/>
                <w:sz w:val="16"/>
                <w:szCs w:val="16"/>
              </w:rPr>
              <w:t xml:space="preserve">Głowica convex </w:t>
            </w:r>
            <w:r w:rsidRPr="001B2F24">
              <w:rPr>
                <w:rFonts w:ascii="Arial" w:hAnsi="Arial" w:cs="Arial"/>
                <w:sz w:val="16"/>
                <w:szCs w:val="16"/>
              </w:rPr>
              <w:t xml:space="preserve">wykonana w technologii ukierunkowanej polaryzacji kryształów lub w technologii matrycowej (min. 300 elementów akustycznych) ; szerokopasmowa o zakresie częstotliwości 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>(emitowanych)</w:t>
            </w:r>
            <w:r w:rsidRPr="001B2F24">
              <w:rPr>
                <w:rFonts w:ascii="Arial" w:hAnsi="Arial" w:cs="Arial"/>
                <w:sz w:val="16"/>
                <w:szCs w:val="16"/>
              </w:rPr>
              <w:t xml:space="preserve"> min.  2.0 – 10.0 MHz  (+/- 1 MHz), </w:t>
            </w:r>
            <w:r w:rsidRPr="001B2F24">
              <w:rPr>
                <w:rFonts w:ascii="Arial" w:hAnsi="Arial" w:cs="Arial"/>
                <w:iCs/>
                <w:sz w:val="16"/>
                <w:szCs w:val="16"/>
              </w:rPr>
              <w:t>Kąt widzenia min.  100°; Możliwość zastosowania metalowej przystawki biopsyjnej, obrazowanie harmoniczne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Podać typ i parametry, opisać </w:t>
            </w:r>
            <w:r w:rsidRPr="001B2F24">
              <w:rPr>
                <w:rFonts w:ascii="Arial" w:hAnsi="Arial" w:cs="Arial"/>
                <w:sz w:val="14"/>
                <w:szCs w:val="14"/>
              </w:rPr>
              <w:t xml:space="preserve">zastosowaną </w:t>
            </w:r>
            <w:r w:rsidRPr="001B2F24">
              <w:rPr>
                <w:rFonts w:ascii="Arial" w:hAnsi="Arial" w:cs="Arial"/>
                <w:sz w:val="16"/>
                <w:szCs w:val="16"/>
              </w:rPr>
              <w:t>technologię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sz w:val="16"/>
                <w:szCs w:val="16"/>
              </w:rPr>
              <w:t>Możliwość rozbudowy o: Głowica liniowa szerokopasmowa  o zakresie częstotliwości emitowanych min. 5.0 – 12.0 MHz (+/- 1 MHz); obrazowanie harmoniczne, liczba elementów akustycznych min. 500; Długość czoła głowicy (FOV) min. 49 mm</w:t>
            </w:r>
          </w:p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sz w:val="16"/>
                <w:szCs w:val="16"/>
              </w:rPr>
              <w:t>Możliwość zastosowania metalowej przystawki biopsyjnej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obrazowanie 3D/4D z głowic tzw. wolumetrycznych; prędkość odświeżania min. 25 VPS; możliwość rozbudowy o oprogramowanie do obrazowania i oceny trójwymiarowego echa serca płodu (STIC)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głowice objętościowe typu konweks (min. 2-6 MHz; min. 350 elementów akustycznych) oraz endowaginalna (min. 3-9 MHz, min. 160° (FOV) do obrazowania 3D/4D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lastRenderedPageBreak/>
              <w:t>Inne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Waga aparatu bez urządzeń peryferyjnych maks. 105 kg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Raporty z możliwością dołączenia obrazów do raportów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 xml:space="preserve">Okres gwarancji  min. 24 miesiące przy czym czas gwarancji będzie się liczył od dnia </w:t>
            </w:r>
            <w:r w:rsidR="00217F95" w:rsidRPr="00217F95">
              <w:rPr>
                <w:rFonts w:ascii="Arial" w:hAnsi="Arial" w:cs="Arial"/>
                <w:b w:val="0"/>
                <w:sz w:val="16"/>
                <w:szCs w:val="16"/>
              </w:rPr>
              <w:t>zamontowania, uruchomienia i przekazania protokołem zdawczo-odbiorczym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Certyfikat CE, Deklaracja zgodności producenta na</w:t>
            </w:r>
            <w:r w:rsidR="00217F95">
              <w:rPr>
                <w:rFonts w:ascii="Arial" w:hAnsi="Arial" w:cs="Arial"/>
                <w:sz w:val="16"/>
                <w:szCs w:val="16"/>
              </w:rPr>
              <w:t xml:space="preserve"> oferowany aparat i głowice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217F95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7F95">
              <w:rPr>
                <w:rFonts w:ascii="Arial" w:hAnsi="Arial" w:cs="Arial"/>
                <w:sz w:val="16"/>
                <w:szCs w:val="16"/>
              </w:rPr>
              <w:t>Czas reakcji na zgłoszenie awarii – maksymalny czas podjęcia działań zmierzających do usunięcia  awarii do 48 godz., czas usunięcia zgłoszonych usterek i wykonania napraw max. max. 3 dni od dnia dokonania zgłoszenia, czas wykonania napraw, w przypadku konieczności importu części zamiennych lub podzespołów z zagranicy max. 7 dni od dnia dokonania zgłoszenia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Potwierdzenie parametrów technicznych oferowanego przedmiotu zamówienia w materiałach (w języku polskim</w:t>
            </w:r>
            <w:r w:rsidR="006B35A8">
              <w:rPr>
                <w:rFonts w:ascii="Arial" w:hAnsi="Arial" w:cs="Arial"/>
                <w:sz w:val="16"/>
                <w:szCs w:val="16"/>
              </w:rPr>
              <w:t xml:space="preserve"> lub wraz z tłumaczeniem na język polski</w:t>
            </w:r>
            <w:r w:rsidRPr="001B2F24">
              <w:rPr>
                <w:rFonts w:ascii="Arial" w:hAnsi="Arial" w:cs="Arial"/>
                <w:sz w:val="16"/>
                <w:szCs w:val="16"/>
              </w:rPr>
              <w:t>) lub oświadczeniach oddziału producenta na terenie RP umożliwiające weryfikację zgodności oferowanego produktu z wymaganiami Zamawiającego określonymi w SIWZ i/lub zaprezentowanie, potwierdzenie w postaci zdjęć oferowanych parame</w:t>
            </w:r>
            <w:r w:rsidR="00771EC4">
              <w:rPr>
                <w:rFonts w:ascii="Arial" w:hAnsi="Arial" w:cs="Arial"/>
                <w:sz w:val="16"/>
                <w:szCs w:val="16"/>
              </w:rPr>
              <w:t>trów na zaoferowanym aparacie.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Przeglądy wg zaleceń producenta w trakcie gwarancji na koszt Wykonawcy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6B35A8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  <w:r w:rsidR="00716E23" w:rsidRPr="001B2F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, </w:t>
            </w:r>
            <w:r w:rsidR="00716E23" w:rsidRPr="001B2F24">
              <w:rPr>
                <w:rFonts w:ascii="Arial" w:hAnsi="Arial" w:cs="Arial"/>
                <w:b w:val="0"/>
                <w:bCs/>
                <w:iCs/>
                <w:color w:val="000000"/>
                <w:sz w:val="14"/>
                <w:szCs w:val="14"/>
              </w:rPr>
              <w:t>podać liczbę wymaganych dla bezpiecznej pracy urządzenia przeglądów  technicznych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Wykonawca gwarantuje sprzedaż części zamiennych przez okres 10 lat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6B35A8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Dostawa urządzenia wraz z licencją DICOM i konfiguracja z istniejącym systemem PACS firmy COMPU GROUP Medical Polska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6B35A8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71EC4" w:rsidRPr="00771EC4" w:rsidRDefault="00771EC4" w:rsidP="00771EC4">
      <w:pPr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16E23" w:rsidRPr="00771EC4" w:rsidRDefault="00771EC4" w:rsidP="00771EC4">
      <w:pPr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1EC4">
        <w:rPr>
          <w:rFonts w:ascii="Arial" w:hAnsi="Arial" w:cs="Arial"/>
          <w:sz w:val="18"/>
          <w:szCs w:val="18"/>
        </w:rPr>
        <w:t>*Uwaga: Wszystkie oferowane parametry muszą być potwierdzone w mater</w:t>
      </w:r>
      <w:r>
        <w:rPr>
          <w:rFonts w:ascii="Arial" w:hAnsi="Arial" w:cs="Arial"/>
          <w:sz w:val="18"/>
          <w:szCs w:val="18"/>
        </w:rPr>
        <w:t>iałach w języku polskim i/lub w </w:t>
      </w:r>
      <w:r w:rsidRPr="00771EC4">
        <w:rPr>
          <w:rFonts w:ascii="Arial" w:hAnsi="Arial" w:cs="Arial"/>
          <w:sz w:val="18"/>
          <w:szCs w:val="18"/>
        </w:rPr>
        <w:t xml:space="preserve">oświadczeniach oddziału producenta na terenie RP lub muszą zostać zaprezentowanie, potwierdzenie w postaci zdjęć oferowanych parametrów na zaoferowanym aparacie.  </w:t>
      </w:r>
    </w:p>
    <w:p w:rsidR="00771EC4" w:rsidRDefault="00771EC4" w:rsidP="00716E2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8E7ECF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8E7ECF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16E2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C6" w:rsidRDefault="001F4CC6" w:rsidP="00966E14">
      <w:pPr>
        <w:spacing w:after="0" w:line="240" w:lineRule="auto"/>
      </w:pPr>
      <w:r>
        <w:separator/>
      </w:r>
    </w:p>
  </w:endnote>
  <w:endnote w:type="continuationSeparator" w:id="0">
    <w:p w:rsidR="001F4CC6" w:rsidRDefault="001F4CC6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CF2458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C6" w:rsidRDefault="001F4CC6" w:rsidP="00966E14">
      <w:pPr>
        <w:spacing w:after="0" w:line="240" w:lineRule="auto"/>
      </w:pPr>
      <w:r>
        <w:separator/>
      </w:r>
    </w:p>
  </w:footnote>
  <w:footnote w:type="continuationSeparator" w:id="0">
    <w:p w:rsidR="001F4CC6" w:rsidRDefault="001F4CC6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91164D">
        <w:rPr>
          <w:sz w:val="18"/>
          <w:szCs w:val="18"/>
        </w:rPr>
        <w:t>(t.j. Dz. U. 2019 poz. 1292</w:t>
      </w:r>
      <w:r w:rsidR="00591CBA" w:rsidRPr="00591CBA">
        <w:rPr>
          <w:sz w:val="18"/>
          <w:szCs w:val="18"/>
        </w:rPr>
        <w:t>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7B5FB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WA.272.1.27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0854AF1"/>
    <w:multiLevelType w:val="multilevel"/>
    <w:tmpl w:val="7AB2645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4657406F"/>
    <w:multiLevelType w:val="multilevel"/>
    <w:tmpl w:val="0BCA986E"/>
    <w:styleLink w:val="WW8Num2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8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 w:val="0"/>
          <w:sz w:val="20"/>
          <w:szCs w:val="20"/>
        </w:rPr>
      </w:lvl>
    </w:lvlOverride>
  </w:num>
  <w:num w:numId="10">
    <w:abstractNumId w:val="1"/>
  </w:num>
  <w:num w:numId="11">
    <w:abstractNumId w:val="6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602F"/>
    <w:rsid w:val="00070950"/>
    <w:rsid w:val="00087B4E"/>
    <w:rsid w:val="000905F8"/>
    <w:rsid w:val="00092918"/>
    <w:rsid w:val="00095867"/>
    <w:rsid w:val="001006EE"/>
    <w:rsid w:val="00155189"/>
    <w:rsid w:val="0018256B"/>
    <w:rsid w:val="001860C6"/>
    <w:rsid w:val="00193419"/>
    <w:rsid w:val="00196CD8"/>
    <w:rsid w:val="001B509A"/>
    <w:rsid w:val="001E759A"/>
    <w:rsid w:val="001F4CC6"/>
    <w:rsid w:val="001F7381"/>
    <w:rsid w:val="002068A8"/>
    <w:rsid w:val="00217F95"/>
    <w:rsid w:val="00232833"/>
    <w:rsid w:val="00234086"/>
    <w:rsid w:val="003163C0"/>
    <w:rsid w:val="00325A98"/>
    <w:rsid w:val="0032711E"/>
    <w:rsid w:val="0036228E"/>
    <w:rsid w:val="00396DE5"/>
    <w:rsid w:val="003A3D92"/>
    <w:rsid w:val="003B3749"/>
    <w:rsid w:val="003D1383"/>
    <w:rsid w:val="003D4FF3"/>
    <w:rsid w:val="00423457"/>
    <w:rsid w:val="004502D1"/>
    <w:rsid w:val="00455532"/>
    <w:rsid w:val="00492F7B"/>
    <w:rsid w:val="004A3C06"/>
    <w:rsid w:val="004A45E9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A6F1D"/>
    <w:rsid w:val="006B35A8"/>
    <w:rsid w:val="006B53BD"/>
    <w:rsid w:val="006D45C3"/>
    <w:rsid w:val="006E2D29"/>
    <w:rsid w:val="00716E23"/>
    <w:rsid w:val="00724C31"/>
    <w:rsid w:val="00745696"/>
    <w:rsid w:val="00771EC4"/>
    <w:rsid w:val="007A442E"/>
    <w:rsid w:val="007B31A0"/>
    <w:rsid w:val="007B5FB1"/>
    <w:rsid w:val="007C0D5F"/>
    <w:rsid w:val="007D508C"/>
    <w:rsid w:val="007E2007"/>
    <w:rsid w:val="008307DD"/>
    <w:rsid w:val="00831093"/>
    <w:rsid w:val="0088323F"/>
    <w:rsid w:val="008C7145"/>
    <w:rsid w:val="008D2E73"/>
    <w:rsid w:val="008E6BBA"/>
    <w:rsid w:val="008E7ECF"/>
    <w:rsid w:val="009104A0"/>
    <w:rsid w:val="0091164D"/>
    <w:rsid w:val="00966E14"/>
    <w:rsid w:val="00977370"/>
    <w:rsid w:val="009A4B66"/>
    <w:rsid w:val="009B0455"/>
    <w:rsid w:val="009C54F0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05104"/>
    <w:rsid w:val="00B21AF7"/>
    <w:rsid w:val="00B906BB"/>
    <w:rsid w:val="00BF2ECE"/>
    <w:rsid w:val="00C024E9"/>
    <w:rsid w:val="00C03690"/>
    <w:rsid w:val="00C137FB"/>
    <w:rsid w:val="00C22772"/>
    <w:rsid w:val="00C332A6"/>
    <w:rsid w:val="00C4265F"/>
    <w:rsid w:val="00C80F7E"/>
    <w:rsid w:val="00C819FE"/>
    <w:rsid w:val="00C94454"/>
    <w:rsid w:val="00CD408F"/>
    <w:rsid w:val="00CE3C7F"/>
    <w:rsid w:val="00CF2458"/>
    <w:rsid w:val="00D001F3"/>
    <w:rsid w:val="00D95BDD"/>
    <w:rsid w:val="00DC0CFB"/>
    <w:rsid w:val="00DD14B5"/>
    <w:rsid w:val="00DD52B5"/>
    <w:rsid w:val="00DE0128"/>
    <w:rsid w:val="00E04180"/>
    <w:rsid w:val="00E32DF1"/>
    <w:rsid w:val="00E36508"/>
    <w:rsid w:val="00E84489"/>
    <w:rsid w:val="00EA6DD9"/>
    <w:rsid w:val="00EC4DD5"/>
    <w:rsid w:val="00EE4590"/>
    <w:rsid w:val="00F22BBE"/>
    <w:rsid w:val="00F27FC4"/>
    <w:rsid w:val="00F323F4"/>
    <w:rsid w:val="00F45AB2"/>
    <w:rsid w:val="00F7626E"/>
    <w:rsid w:val="00FA0F4A"/>
    <w:rsid w:val="00FB1003"/>
    <w:rsid w:val="00FC0B6C"/>
    <w:rsid w:val="00FC1BE0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paragraph" w:styleId="Nagwek2">
    <w:name w:val="heading 2"/>
    <w:basedOn w:val="Standard"/>
    <w:next w:val="Standard"/>
    <w:link w:val="Nagwek2Znak"/>
    <w:rsid w:val="00716E23"/>
    <w:pPr>
      <w:keepNext/>
      <w:jc w:val="center"/>
      <w:outlineLvl w:val="1"/>
    </w:pPr>
  </w:style>
  <w:style w:type="paragraph" w:styleId="Nagwek4">
    <w:name w:val="heading 4"/>
    <w:basedOn w:val="Standard"/>
    <w:next w:val="Standard"/>
    <w:link w:val="Nagwek4Znak"/>
    <w:rsid w:val="00716E23"/>
    <w:pPr>
      <w:keepNext/>
      <w:outlineLvl w:val="3"/>
    </w:pPr>
    <w:rPr>
      <w:b/>
      <w:sz w:val="22"/>
    </w:rPr>
  </w:style>
  <w:style w:type="paragraph" w:styleId="Nagwek5">
    <w:name w:val="heading 5"/>
    <w:basedOn w:val="Standard"/>
    <w:next w:val="Standard"/>
    <w:link w:val="Nagwek5Znak"/>
    <w:rsid w:val="00716E23"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716E23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16E23"/>
    <w:rPr>
      <w:rFonts w:ascii="Liberation Serif" w:eastAsia="NSimSun" w:hAnsi="Liberation Serif" w:cs="Mangal"/>
      <w:b/>
      <w:kern w:val="3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716E23"/>
    <w:rPr>
      <w:rFonts w:ascii="Liberation Serif" w:eastAsia="NSimSun" w:hAnsi="Liberation Serif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16E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16E23"/>
    <w:pPr>
      <w:suppressAutoHyphens/>
      <w:autoSpaceDE w:val="0"/>
      <w:autoSpaceDN w:val="0"/>
      <w:spacing w:after="0" w:line="240" w:lineRule="auto"/>
      <w:textAlignment w:val="baseline"/>
    </w:pPr>
    <w:rPr>
      <w:rFonts w:ascii="Gill Sans MT" w:eastAsia="MS Mincho" w:hAnsi="Gill Sans MT" w:cs="Gill Sans MT"/>
      <w:color w:val="000000"/>
      <w:kern w:val="3"/>
      <w:sz w:val="24"/>
      <w:szCs w:val="24"/>
      <w:lang w:eastAsia="zh-CN"/>
    </w:rPr>
  </w:style>
  <w:style w:type="paragraph" w:customStyle="1" w:styleId="Tekstdymka1">
    <w:name w:val="Tekst dymka1"/>
    <w:basedOn w:val="Standard"/>
    <w:rsid w:val="00716E23"/>
    <w:rPr>
      <w:rFonts w:ascii="Tahoma" w:eastAsia="Tahoma" w:hAnsi="Tahoma" w:cs="Tahoma"/>
      <w:sz w:val="16"/>
      <w:szCs w:val="16"/>
    </w:rPr>
  </w:style>
  <w:style w:type="numbering" w:customStyle="1" w:styleId="WW8Num2">
    <w:name w:val="WW8Num2"/>
    <w:basedOn w:val="Bezlisty"/>
    <w:rsid w:val="00716E23"/>
    <w:pPr>
      <w:numPr>
        <w:numId w:val="13"/>
      </w:numPr>
    </w:pPr>
  </w:style>
  <w:style w:type="numbering" w:customStyle="1" w:styleId="WW8Num3">
    <w:name w:val="WW8Num3"/>
    <w:basedOn w:val="Bezlisty"/>
    <w:rsid w:val="00716E2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96E3-0E4E-4258-B83A-46352CFD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2741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72</cp:revision>
  <dcterms:created xsi:type="dcterms:W3CDTF">2017-07-19T06:42:00Z</dcterms:created>
  <dcterms:modified xsi:type="dcterms:W3CDTF">2019-10-11T10:48:00Z</dcterms:modified>
</cp:coreProperties>
</file>