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227" w14:textId="69847B61" w:rsidR="002D479B" w:rsidRDefault="002D479B" w:rsidP="002D479B">
      <w:pPr>
        <w:keepNext/>
        <w:spacing w:line="240" w:lineRule="auto"/>
        <w:ind w:firstLine="0"/>
        <w:jc w:val="left"/>
        <w:outlineLvl w:val="1"/>
        <w:rPr>
          <w:b/>
          <w:bCs/>
          <w:sz w:val="28"/>
          <w:szCs w:val="28"/>
        </w:rPr>
      </w:pPr>
      <w:bookmarkStart w:id="0" w:name="_Toc140004072"/>
      <w:bookmarkStart w:id="1" w:name="_Toc144269955"/>
      <w:bookmarkStart w:id="2" w:name="_Toc144567887"/>
      <w:bookmarkStart w:id="3" w:name="_Toc269986839"/>
      <w:bookmarkStart w:id="4" w:name="_Toc380392423"/>
      <w:bookmarkStart w:id="5" w:name="_Toc385017076"/>
      <w:bookmarkStart w:id="6" w:name="_Toc61980537"/>
      <w:bookmarkStart w:id="7" w:name="_Toc61980639"/>
      <w:r w:rsidRPr="002D479B">
        <w:rPr>
          <w:b/>
          <w:bCs/>
          <w:sz w:val="28"/>
          <w:szCs w:val="28"/>
        </w:rPr>
        <w:t xml:space="preserve">M-30.05.02  </w:t>
      </w:r>
      <w:r>
        <w:rPr>
          <w:b/>
          <w:bCs/>
          <w:sz w:val="28"/>
          <w:szCs w:val="28"/>
        </w:rPr>
        <w:t xml:space="preserve"> </w:t>
      </w:r>
      <w:r w:rsidRPr="002D479B">
        <w:rPr>
          <w:b/>
          <w:bCs/>
          <w:sz w:val="28"/>
          <w:szCs w:val="28"/>
        </w:rPr>
        <w:t xml:space="preserve">WYKONANIE  NAWIERZCHNI  NA  CHODNIKACH </w:t>
      </w:r>
    </w:p>
    <w:p w14:paraId="64722C6D" w14:textId="1A7E2988" w:rsidR="002D479B" w:rsidRPr="002D479B" w:rsidRDefault="002D479B" w:rsidP="002D479B">
      <w:pPr>
        <w:keepNext/>
        <w:spacing w:line="240" w:lineRule="auto"/>
        <w:ind w:firstLine="0"/>
        <w:jc w:val="left"/>
        <w:outlineLvl w:val="1"/>
        <w:rPr>
          <w:rFonts w:eastAsia="Times New Roman" w:cs="Times New Roman"/>
          <w:b/>
          <w:bCs/>
          <w:sz w:val="28"/>
          <w:szCs w:val="20"/>
          <w:lang w:eastAsia="pl-PL"/>
        </w:rPr>
      </w:pPr>
      <w:r>
        <w:rPr>
          <w:b/>
          <w:bCs/>
          <w:sz w:val="28"/>
          <w:szCs w:val="28"/>
        </w:rPr>
        <w:t xml:space="preserve">                      </w:t>
      </w:r>
      <w:r w:rsidRPr="002D479B">
        <w:rPr>
          <w:b/>
          <w:bCs/>
          <w:sz w:val="28"/>
          <w:szCs w:val="28"/>
        </w:rPr>
        <w:t>Z ŻYWIC SYNTETYCZNYCH O GRUBOŚCI 6 MM</w:t>
      </w:r>
    </w:p>
    <w:p w14:paraId="307D6008" w14:textId="77777777" w:rsidR="00EC7A51" w:rsidRPr="009E03A0" w:rsidRDefault="00EC7A51" w:rsidP="00EC7A51">
      <w:pPr>
        <w:pStyle w:val="Nagwek1"/>
        <w:numPr>
          <w:ilvl w:val="0"/>
          <w:numId w:val="2"/>
        </w:numPr>
      </w:pPr>
      <w:bookmarkStart w:id="8" w:name="_Toc140004073"/>
      <w:bookmarkStart w:id="9" w:name="_Toc144269956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9E03A0">
        <w:t>WSTĘP</w:t>
      </w:r>
      <w:bookmarkEnd w:id="8"/>
      <w:bookmarkEnd w:id="9"/>
    </w:p>
    <w:p w14:paraId="54D9EF5E" w14:textId="77777777" w:rsidR="00EC7A51" w:rsidRPr="009E03A0" w:rsidRDefault="00EC7A51" w:rsidP="00EC7A51">
      <w:pPr>
        <w:pStyle w:val="Nagwek2"/>
      </w:pPr>
      <w:r w:rsidRPr="009E03A0">
        <w:t>Przedmiot STWIORB</w:t>
      </w:r>
    </w:p>
    <w:p w14:paraId="47C0C888" w14:textId="6204F64A" w:rsidR="00EC7A51" w:rsidRPr="0051472E" w:rsidRDefault="00EC7A51" w:rsidP="0051472E">
      <w:pPr>
        <w:rPr>
          <w:b/>
          <w:bCs/>
          <w:szCs w:val="20"/>
        </w:rPr>
      </w:pPr>
      <w:r w:rsidRPr="009E03A0">
        <w:rPr>
          <w:szCs w:val="20"/>
        </w:rPr>
        <w:t>Przedmiotem niniejszej Szczegółowej Specyfikacji Technicznej są wymagania dotyczące wykonania i odbioru robót związanych z wykonaniem nawierzchnio-izolacji poliuretanowo</w:t>
      </w:r>
      <w:r w:rsidR="00B3533C">
        <w:rPr>
          <w:szCs w:val="20"/>
        </w:rPr>
        <w:t xml:space="preserve"> </w:t>
      </w:r>
      <w:r w:rsidRPr="009E03A0">
        <w:rPr>
          <w:szCs w:val="20"/>
        </w:rPr>
        <w:t>-</w:t>
      </w:r>
      <w:r w:rsidR="00B3533C">
        <w:rPr>
          <w:szCs w:val="20"/>
        </w:rPr>
        <w:t xml:space="preserve"> </w:t>
      </w:r>
      <w:r w:rsidRPr="009E03A0">
        <w:rPr>
          <w:szCs w:val="20"/>
        </w:rPr>
        <w:t>epoks</w:t>
      </w:r>
      <w:r>
        <w:rPr>
          <w:szCs w:val="20"/>
        </w:rPr>
        <w:t xml:space="preserve">ydowej na ciągach chodnikowych </w:t>
      </w:r>
      <w:r w:rsidRPr="009E03A0">
        <w:rPr>
          <w:szCs w:val="20"/>
        </w:rPr>
        <w:t>w ramach zadania pn</w:t>
      </w:r>
      <w:r w:rsidRPr="0051472E">
        <w:rPr>
          <w:b/>
          <w:bCs/>
          <w:szCs w:val="20"/>
        </w:rPr>
        <w:t>.: „</w:t>
      </w:r>
      <w:r w:rsidR="0051472E" w:rsidRPr="0051472E">
        <w:rPr>
          <w:b/>
          <w:bCs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51472E">
        <w:rPr>
          <w:b/>
          <w:bCs/>
        </w:rPr>
        <w:t>”.</w:t>
      </w:r>
    </w:p>
    <w:p w14:paraId="49D9EC03" w14:textId="77777777" w:rsidR="00EC7A51" w:rsidRPr="009E03A0" w:rsidRDefault="00EC7A51" w:rsidP="00EC7A51">
      <w:pPr>
        <w:pStyle w:val="Nagwek2"/>
      </w:pPr>
      <w:r w:rsidRPr="009E03A0">
        <w:t>Zakres stosowania STWIORB</w:t>
      </w:r>
    </w:p>
    <w:p w14:paraId="48400A6D" w14:textId="77777777" w:rsidR="00EC7A51" w:rsidRPr="009E03A0" w:rsidRDefault="00EC7A51" w:rsidP="00EC7A51">
      <w:pPr>
        <w:pStyle w:val="Normalny1"/>
        <w:ind w:right="-9"/>
      </w:pPr>
      <w:r w:rsidRPr="009E03A0">
        <w:t>Specyfikacja techniczna jest stosowana jako dokument przetargowy i kontraktowy przy zlecaniu i realizacji robót wymienionych w punkcie 1.1.</w:t>
      </w:r>
    </w:p>
    <w:p w14:paraId="5BDCE18B" w14:textId="77777777" w:rsidR="00EC7A51" w:rsidRPr="009E03A0" w:rsidRDefault="00EC7A51" w:rsidP="00EC7A51">
      <w:pPr>
        <w:pStyle w:val="Nagwek2"/>
      </w:pPr>
      <w:r w:rsidRPr="009E03A0">
        <w:t>Zakres robót objętych STWIORB</w:t>
      </w:r>
    </w:p>
    <w:p w14:paraId="43C58B8E" w14:textId="77777777" w:rsidR="00EC7A51" w:rsidRPr="009E03A0" w:rsidRDefault="00EC7A51" w:rsidP="00EC7A51">
      <w:r w:rsidRPr="009E03A0">
        <w:t>Ustalenia zawarte w niniejszej specyfikacji dotyczą zasad wykonania nawierzchnio-izolacji epoksydowo-poliuretanowej o grubości 6mm jako warstwy ochronnej na betonie kapach chodnikowych i obejmują:</w:t>
      </w:r>
    </w:p>
    <w:p w14:paraId="0C879C4F" w14:textId="77777777" w:rsidR="00EC7A51" w:rsidRPr="009E03A0" w:rsidRDefault="00EC7A51" w:rsidP="00EC7A51">
      <w:pPr>
        <w:pStyle w:val="Akapitzlist"/>
        <w:numPr>
          <w:ilvl w:val="0"/>
          <w:numId w:val="7"/>
        </w:numPr>
      </w:pPr>
      <w:r w:rsidRPr="009E03A0">
        <w:t>zakup, dostarczenie na budowę i przygotowanie niezbędnych materiałów;</w:t>
      </w:r>
    </w:p>
    <w:p w14:paraId="49842E62" w14:textId="77777777" w:rsidR="00EC7A51" w:rsidRPr="009E03A0" w:rsidRDefault="00EC7A51" w:rsidP="00EC7A51">
      <w:pPr>
        <w:pStyle w:val="Akapitzlist"/>
        <w:numPr>
          <w:ilvl w:val="0"/>
          <w:numId w:val="7"/>
        </w:numPr>
      </w:pPr>
      <w:r w:rsidRPr="009E03A0">
        <w:t>przygotowanie podłoża;</w:t>
      </w:r>
    </w:p>
    <w:p w14:paraId="6EF43B78" w14:textId="77777777" w:rsidR="00EC7A51" w:rsidRPr="009E03A0" w:rsidRDefault="00EC7A51" w:rsidP="00EC7A51">
      <w:pPr>
        <w:pStyle w:val="Akapitzlist"/>
        <w:numPr>
          <w:ilvl w:val="0"/>
          <w:numId w:val="7"/>
        </w:numPr>
      </w:pPr>
      <w:r w:rsidRPr="009E03A0">
        <w:t>wykonanie warstwy podkładu gruntującego;</w:t>
      </w:r>
    </w:p>
    <w:p w14:paraId="2A9A4A94" w14:textId="77777777" w:rsidR="00EC7A51" w:rsidRPr="009E03A0" w:rsidRDefault="00EC7A51" w:rsidP="00EC7A51">
      <w:pPr>
        <w:pStyle w:val="Akapitzlist"/>
        <w:numPr>
          <w:ilvl w:val="0"/>
          <w:numId w:val="7"/>
        </w:numPr>
      </w:pPr>
      <w:r w:rsidRPr="009E03A0">
        <w:t>wykonanie warstwy nawierzchnio-izolacji epoksydowo-poliuretanowej na kapach chodnikowych.</w:t>
      </w:r>
    </w:p>
    <w:p w14:paraId="7C2BDD77" w14:textId="77777777" w:rsidR="00EC7A51" w:rsidRPr="009E03A0" w:rsidRDefault="00EC7A51" w:rsidP="00EC7A51">
      <w:pPr>
        <w:pStyle w:val="Nagwek2"/>
      </w:pPr>
      <w:r w:rsidRPr="009E03A0">
        <w:t>Określenia podstawowe</w:t>
      </w:r>
    </w:p>
    <w:p w14:paraId="39DC05EF" w14:textId="77777777" w:rsidR="00EC7A51" w:rsidRPr="009E03A0" w:rsidRDefault="00EC7A51" w:rsidP="00EC7A51">
      <w:r w:rsidRPr="009E03A0">
        <w:t>Określenia podane w niniejszej STWIORB są zgodne z obowiązującymi</w:t>
      </w:r>
      <w:r>
        <w:t xml:space="preserve"> odpowiednimi polskimi normami </w:t>
      </w:r>
      <w:r w:rsidRPr="009E03A0">
        <w:t>i z definicjami podanymi w STWIORB D-M-00.00.00 „Wymagania ogólne” pkt.1.</w:t>
      </w:r>
    </w:p>
    <w:p w14:paraId="48DC6449" w14:textId="77777777" w:rsidR="00EC7A51" w:rsidRPr="009E03A0" w:rsidRDefault="00EC7A51" w:rsidP="00EC7A51">
      <w:pPr>
        <w:pStyle w:val="Nagwek2"/>
      </w:pPr>
      <w:r w:rsidRPr="009E03A0">
        <w:t>Ogólne wymagania dotyczące robót</w:t>
      </w:r>
    </w:p>
    <w:p w14:paraId="4A0022C7" w14:textId="77777777" w:rsidR="00EC7A51" w:rsidRPr="009E03A0" w:rsidRDefault="00EC7A51" w:rsidP="00EC7A51">
      <w:r w:rsidRPr="009E03A0">
        <w:t>Roboty powłokowe powinny być wykonywane zgodnie ze Specyfikacjami Technicznymi oraz normami.</w:t>
      </w:r>
    </w:p>
    <w:p w14:paraId="02431978" w14:textId="77777777" w:rsidR="00EC7A51" w:rsidRPr="009E03A0" w:rsidRDefault="00EC7A51" w:rsidP="00EC7A51">
      <w:r w:rsidRPr="009E03A0">
        <w:t>Wykonawca robót jest odpowiedzialny za jakość stosowanych materiałów zgodnych ze Specyfikacją Techniczną oraz zaleceniami Inżyniera.</w:t>
      </w:r>
    </w:p>
    <w:p w14:paraId="6334B6A8" w14:textId="77777777" w:rsidR="00EC7A51" w:rsidRPr="009E03A0" w:rsidRDefault="00EC7A51" w:rsidP="00EC7A51">
      <w:r w:rsidRPr="009E03A0">
        <w:t>Ogólne wymagania dotyczące robót podano w STWIORB D-M.00.00.00. „Wymagania ogólne” pkt.1.5.</w:t>
      </w:r>
    </w:p>
    <w:p w14:paraId="78502F5C" w14:textId="77777777" w:rsidR="00EC7A51" w:rsidRPr="009E03A0" w:rsidRDefault="00EC7A51" w:rsidP="00EC7A51">
      <w:pPr>
        <w:pStyle w:val="Nagwek1"/>
      </w:pPr>
      <w:bookmarkStart w:id="10" w:name="_Toc140004074"/>
      <w:bookmarkStart w:id="11" w:name="_Toc144269957"/>
      <w:r w:rsidRPr="009E03A0">
        <w:t>MATERIAŁY</w:t>
      </w:r>
      <w:bookmarkEnd w:id="10"/>
      <w:bookmarkEnd w:id="11"/>
    </w:p>
    <w:p w14:paraId="3735D595" w14:textId="77777777" w:rsidR="00EC7A51" w:rsidRPr="009E03A0" w:rsidRDefault="00EC7A51" w:rsidP="00EC7A51">
      <w:pPr>
        <w:pStyle w:val="Nagwek2"/>
      </w:pPr>
      <w:r w:rsidRPr="009E03A0">
        <w:t>Ogólne wymagania dotyczące materiałów</w:t>
      </w:r>
    </w:p>
    <w:p w14:paraId="274F8408" w14:textId="77777777" w:rsidR="00EC7A51" w:rsidRPr="009E03A0" w:rsidRDefault="00EC7A51" w:rsidP="00EC7A51">
      <w:pPr>
        <w:pStyle w:val="Normalny1"/>
        <w:ind w:right="-9"/>
      </w:pPr>
      <w:r w:rsidRPr="009E03A0">
        <w:t>Ogólne wymagania dotyczące materiałów podano w STWIORB D-M.00.00.00. ”Wymagania ogólne” pkt.2.</w:t>
      </w:r>
    </w:p>
    <w:p w14:paraId="3088E4A6" w14:textId="77777777" w:rsidR="00EC7A51" w:rsidRPr="009E03A0" w:rsidRDefault="00EC7A51" w:rsidP="00EC7A51">
      <w:pPr>
        <w:pStyle w:val="Nagwek2"/>
      </w:pPr>
      <w:r w:rsidRPr="009E03A0">
        <w:t>Materiały do wykonania nawierzchni</w:t>
      </w:r>
    </w:p>
    <w:p w14:paraId="0EB8818F" w14:textId="77777777" w:rsidR="00EC7A51" w:rsidRPr="009E03A0" w:rsidRDefault="00EC7A51" w:rsidP="00EC7A51">
      <w:pPr>
        <w:rPr>
          <w:lang w:val="de-DE"/>
        </w:rPr>
      </w:pPr>
      <w:r w:rsidRPr="009E03A0">
        <w:t xml:space="preserve">Stosowane materiały powinny mieć deklarację zgodności z PN, AT i atest producenta zgodnie z pkt 6.7. </w:t>
      </w:r>
      <w:r w:rsidRPr="009E03A0">
        <w:rPr>
          <w:lang w:val="de-DE"/>
        </w:rPr>
        <w:t>STWIORB D-M-00.00.00.</w:t>
      </w:r>
    </w:p>
    <w:p w14:paraId="574F08D7" w14:textId="77777777" w:rsidR="00EC7A51" w:rsidRPr="009E03A0" w:rsidRDefault="00EC7A51" w:rsidP="00EC7A51">
      <w:r w:rsidRPr="009E03A0">
        <w:t>Zestaw materiałów do wykonania izolacji i nawierzchni betonowych chodników mostowych składa się z:</w:t>
      </w:r>
    </w:p>
    <w:p w14:paraId="0E12FB4C" w14:textId="77777777" w:rsidR="00EC7A51" w:rsidRPr="009E03A0" w:rsidRDefault="00EC7A51" w:rsidP="00EC7A51">
      <w:pPr>
        <w:pStyle w:val="Nagwek3"/>
        <w:numPr>
          <w:ilvl w:val="0"/>
          <w:numId w:val="3"/>
        </w:numPr>
        <w:ind w:left="993" w:hanging="426"/>
      </w:pPr>
      <w:r w:rsidRPr="009E03A0">
        <w:t>Materiału gruntującego na bazie epoksydów o następujących minimalnych parametrach:</w:t>
      </w:r>
    </w:p>
    <w:p w14:paraId="093F4843" w14:textId="77777777" w:rsidR="00EC7A51" w:rsidRPr="009E03A0" w:rsidRDefault="00EC7A51" w:rsidP="00EC7A51">
      <w:pPr>
        <w:pStyle w:val="Akapitzlist"/>
        <w:numPr>
          <w:ilvl w:val="0"/>
          <w:numId w:val="4"/>
        </w:numPr>
      </w:pPr>
      <w:r w:rsidRPr="009E03A0">
        <w:t>gęstość ok. 1,1 kg/dm</w:t>
      </w:r>
      <w:r w:rsidRPr="009E03A0">
        <w:rPr>
          <w:vertAlign w:val="superscript"/>
        </w:rPr>
        <w:t>3</w:t>
      </w:r>
    </w:p>
    <w:p w14:paraId="5BC3E7EA" w14:textId="77777777" w:rsidR="00EC7A51" w:rsidRPr="009E03A0" w:rsidRDefault="00EC7A51" w:rsidP="00EC7A51">
      <w:pPr>
        <w:pStyle w:val="Akapitzlist"/>
        <w:numPr>
          <w:ilvl w:val="0"/>
          <w:numId w:val="4"/>
        </w:numPr>
      </w:pPr>
      <w:r w:rsidRPr="009E03A0">
        <w:t xml:space="preserve">przyczepność do betonu nie mniejsza niż 2 </w:t>
      </w:r>
      <w:proofErr w:type="spellStart"/>
      <w:r w:rsidRPr="009E03A0">
        <w:t>MPa</w:t>
      </w:r>
      <w:proofErr w:type="spellEnd"/>
    </w:p>
    <w:p w14:paraId="05A4D0FB" w14:textId="77777777" w:rsidR="00EC7A51" w:rsidRPr="009E03A0" w:rsidRDefault="00EC7A51" w:rsidP="00EC7A51">
      <w:pPr>
        <w:pStyle w:val="Akapitzlist"/>
        <w:numPr>
          <w:ilvl w:val="0"/>
          <w:numId w:val="4"/>
        </w:numPr>
      </w:pPr>
      <w:r w:rsidRPr="009E03A0">
        <w:t>czas przydatności do użycia po wymieszaniu w temp. + 20</w:t>
      </w:r>
      <w:r w:rsidRPr="009E03A0">
        <w:rPr>
          <w:vertAlign w:val="superscript"/>
        </w:rPr>
        <w:t>o</w:t>
      </w:r>
      <w:r w:rsidRPr="009E03A0">
        <w:t>C minimum 1 godzina.</w:t>
      </w:r>
    </w:p>
    <w:p w14:paraId="1EF1DFEA" w14:textId="77777777" w:rsidR="00EC7A51" w:rsidRPr="009E03A0" w:rsidRDefault="00EC7A51" w:rsidP="00EC7A51">
      <w:pPr>
        <w:pStyle w:val="Nagwek3"/>
        <w:numPr>
          <w:ilvl w:val="0"/>
          <w:numId w:val="3"/>
        </w:numPr>
        <w:tabs>
          <w:tab w:val="left" w:pos="540"/>
        </w:tabs>
        <w:ind w:left="1134" w:right="-9" w:hanging="425"/>
      </w:pPr>
      <w:r w:rsidRPr="009E03A0">
        <w:t>Chemoutwardzalnego materiału nawierzchniowego na bazie żywicy epoksydowej i poliuretanu.</w:t>
      </w:r>
    </w:p>
    <w:p w14:paraId="4027C65C" w14:textId="77777777" w:rsidR="00EC7A51" w:rsidRPr="009E03A0" w:rsidRDefault="00EC7A51" w:rsidP="00EC7A51">
      <w:r w:rsidRPr="009E03A0">
        <w:t>Materiał ten po utwardzeniu winien posiadać następujące cechy:</w:t>
      </w:r>
    </w:p>
    <w:p w14:paraId="50F193A8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>gęstość około 1,2 kg/l;</w:t>
      </w:r>
    </w:p>
    <w:p w14:paraId="5EBA84DF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lastRenderedPageBreak/>
        <w:t>zawartość składników stałych nie mniej niż 96%;</w:t>
      </w:r>
    </w:p>
    <w:p w14:paraId="34884DFB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>wydłużenie względne przy zerwaniu wynoszące minimum 30 %,</w:t>
      </w:r>
    </w:p>
    <w:p w14:paraId="6C247065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 xml:space="preserve">naprężenie rozciągające powodujące pękanie ponad 6 </w:t>
      </w:r>
      <w:proofErr w:type="spellStart"/>
      <w:r w:rsidRPr="009E03A0">
        <w:t>MPa</w:t>
      </w:r>
      <w:proofErr w:type="spellEnd"/>
      <w:r w:rsidRPr="009E03A0">
        <w:t>,</w:t>
      </w:r>
    </w:p>
    <w:p w14:paraId="4CF8C734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 xml:space="preserve">twardość według </w:t>
      </w:r>
      <w:proofErr w:type="spellStart"/>
      <w:r w:rsidRPr="009E03A0">
        <w:t>Shore</w:t>
      </w:r>
      <w:proofErr w:type="spellEnd"/>
      <w:r w:rsidRPr="009E03A0">
        <w:t xml:space="preserve"> – A&gt;90,</w:t>
      </w:r>
    </w:p>
    <w:p w14:paraId="7EFF011C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>odporność na działanie wody i środków odladzających,</w:t>
      </w:r>
    </w:p>
    <w:p w14:paraId="17DA8C9B" w14:textId="77777777" w:rsidR="00EC7A51" w:rsidRPr="009E03A0" w:rsidRDefault="00EC7A51" w:rsidP="00EC7A51">
      <w:pPr>
        <w:pStyle w:val="Akapitzlist"/>
        <w:numPr>
          <w:ilvl w:val="0"/>
          <w:numId w:val="5"/>
        </w:numPr>
      </w:pPr>
      <w:r w:rsidRPr="009E03A0">
        <w:t>odporność nawierzchni na promieniowanie UV</w:t>
      </w:r>
    </w:p>
    <w:p w14:paraId="3650CC7C" w14:textId="77777777" w:rsidR="00EC7A51" w:rsidRDefault="00EC7A51" w:rsidP="00EC7A51">
      <w:pPr>
        <w:pStyle w:val="Akapitzlist"/>
        <w:numPr>
          <w:ilvl w:val="0"/>
          <w:numId w:val="5"/>
        </w:numPr>
      </w:pPr>
      <w:r w:rsidRPr="009E03A0">
        <w:t>właściwości elastyczne w temperaturze od –20 do +60</w:t>
      </w:r>
      <w:r w:rsidRPr="009E03A0">
        <w:rPr>
          <w:vertAlign w:val="superscript"/>
        </w:rPr>
        <w:t>o</w:t>
      </w:r>
      <w:r w:rsidRPr="009E03A0">
        <w:t>C.</w:t>
      </w:r>
    </w:p>
    <w:p w14:paraId="54C17109" w14:textId="77777777" w:rsidR="00EC7A51" w:rsidRPr="009E03A0" w:rsidRDefault="00EC7A51" w:rsidP="00EC7A51">
      <w:pPr>
        <w:pStyle w:val="Akapitzlist"/>
        <w:ind w:left="1077"/>
      </w:pPr>
    </w:p>
    <w:p w14:paraId="1C1A44C2" w14:textId="77777777" w:rsidR="00EC7A51" w:rsidRPr="009E03A0" w:rsidRDefault="00EC7A51" w:rsidP="00EC7A51">
      <w:r w:rsidRPr="009E03A0">
        <w:t xml:space="preserve">Grubość warstwy nawierzchni powinna wynosić </w:t>
      </w:r>
      <w:smartTag w:uri="urn:schemas-microsoft-com:office:smarttags" w:element="metricconverter">
        <w:smartTagPr>
          <w:attr w:name="ProductID" w:val="6 mm"/>
        </w:smartTagPr>
        <w:r w:rsidRPr="009E03A0">
          <w:t>6 mm</w:t>
        </w:r>
      </w:smartTag>
      <w:r w:rsidRPr="009E03A0">
        <w:t>.</w:t>
      </w:r>
    </w:p>
    <w:p w14:paraId="36CC7BD4" w14:textId="3E362FE4" w:rsidR="00EC7A51" w:rsidRPr="009E03A0" w:rsidRDefault="00EC7A51" w:rsidP="00EC7A51">
      <w:r w:rsidRPr="009E03A0">
        <w:t>Dobór materiału nawierzchniowego należy do Wykonawcy i podlega uzgodnieniu z Inżynierem.</w:t>
      </w:r>
      <w:r w:rsidR="00B3533C">
        <w:t xml:space="preserve"> </w:t>
      </w:r>
      <w:r w:rsidRPr="009E03A0">
        <w:t>Wbudować wolno tylko taki materiał, który posiada atest producenta i Aprobatę Techniczną wydaną przez IBDiM. Materiał musi posiadać referencje dotyczące realizacji w budownictwie mostowym na obiekcie o porównywalnej wielkości.</w:t>
      </w:r>
    </w:p>
    <w:p w14:paraId="5DB73414" w14:textId="77777777" w:rsidR="00EC7A51" w:rsidRPr="009E03A0" w:rsidRDefault="00EC7A51" w:rsidP="00EC7A51">
      <w:pPr>
        <w:pStyle w:val="Nagwek1"/>
      </w:pPr>
      <w:bookmarkStart w:id="12" w:name="_Toc140004075"/>
      <w:bookmarkStart w:id="13" w:name="_Toc144269958"/>
      <w:r w:rsidRPr="009E03A0">
        <w:t>SPRZĘT</w:t>
      </w:r>
      <w:bookmarkEnd w:id="12"/>
      <w:bookmarkEnd w:id="13"/>
    </w:p>
    <w:p w14:paraId="5855C8B8" w14:textId="77777777" w:rsidR="00EC7A51" w:rsidRPr="009E03A0" w:rsidRDefault="00EC7A51" w:rsidP="00EC7A51">
      <w:pPr>
        <w:pStyle w:val="Nagwek2"/>
      </w:pPr>
      <w:r w:rsidRPr="009E03A0">
        <w:t xml:space="preserve">Ogólne wymagania dotyczące sprzętu </w:t>
      </w:r>
    </w:p>
    <w:p w14:paraId="6E02126F" w14:textId="77777777" w:rsidR="00EC7A51" w:rsidRPr="009E03A0" w:rsidRDefault="00EC7A51" w:rsidP="00EC7A51">
      <w:r w:rsidRPr="009E03A0">
        <w:t>Ogólne wymagania dotyczące sprzętu podano w STWIORB D-M.00.00.00.”Wymagania ogólne” pkt.3.</w:t>
      </w:r>
    </w:p>
    <w:p w14:paraId="608A1320" w14:textId="77777777" w:rsidR="00EC7A51" w:rsidRPr="009E03A0" w:rsidRDefault="00EC7A51" w:rsidP="00EC7A51">
      <w:pPr>
        <w:pStyle w:val="Nagwek2"/>
      </w:pPr>
      <w:r w:rsidRPr="009E03A0">
        <w:t xml:space="preserve">Sprzęt do wykonania robót </w:t>
      </w:r>
    </w:p>
    <w:p w14:paraId="2C0C948F" w14:textId="77777777" w:rsidR="00EC7A51" w:rsidRPr="009E03A0" w:rsidRDefault="00EC7A51" w:rsidP="00EC7A51">
      <w:r w:rsidRPr="009E03A0">
        <w:t>Do wykonania nawierzchnio-izolacji epoksydowo-poliuretanowej na powierzchniach betonowych należy użyć:</w:t>
      </w:r>
    </w:p>
    <w:p w14:paraId="79ABF4EF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listew wyrównawczych (gumowych);</w:t>
      </w:r>
    </w:p>
    <w:p w14:paraId="54E05D80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szpachli;</w:t>
      </w:r>
    </w:p>
    <w:p w14:paraId="3E6FC7E6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wałki syntetyczne;</w:t>
      </w:r>
    </w:p>
    <w:p w14:paraId="61549892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pędzle;</w:t>
      </w:r>
    </w:p>
    <w:p w14:paraId="056E06F6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w razie potrzeby namiotów foliowych, brezentowych na stelażu, dmuchaw elektrycznych do ogrzewania, ręcznych dmuchaw gorącego powietrza;</w:t>
      </w:r>
    </w:p>
    <w:p w14:paraId="690DD0C0" w14:textId="77777777" w:rsidR="00EC7A51" w:rsidRPr="009E03A0" w:rsidRDefault="00EC7A51" w:rsidP="00EC7A51">
      <w:pPr>
        <w:pStyle w:val="Akapitzlist"/>
        <w:numPr>
          <w:ilvl w:val="0"/>
          <w:numId w:val="6"/>
        </w:numPr>
      </w:pPr>
      <w:r w:rsidRPr="009E03A0">
        <w:t>odkurzaczy przemysłowych lub sprężarek z filtrami: przeciwwodnymi i przeciwolejowymi.</w:t>
      </w:r>
    </w:p>
    <w:p w14:paraId="520E373B" w14:textId="77777777" w:rsidR="00EC7A51" w:rsidRPr="009E03A0" w:rsidRDefault="00EC7A51" w:rsidP="00EC7A51">
      <w:pPr>
        <w:pStyle w:val="Nagwek1"/>
      </w:pPr>
      <w:bookmarkStart w:id="14" w:name="_Toc140004076"/>
      <w:bookmarkStart w:id="15" w:name="_Toc144269959"/>
      <w:r w:rsidRPr="009E03A0">
        <w:t>TRANSPORT</w:t>
      </w:r>
      <w:bookmarkEnd w:id="14"/>
      <w:bookmarkEnd w:id="15"/>
    </w:p>
    <w:p w14:paraId="0669B857" w14:textId="77777777" w:rsidR="00EC7A51" w:rsidRPr="009E03A0" w:rsidRDefault="00EC7A51" w:rsidP="00EC7A51">
      <w:pPr>
        <w:pStyle w:val="Nagwek2"/>
      </w:pPr>
      <w:r w:rsidRPr="009E03A0">
        <w:t>Ogólne wymagania dotyczące transportu</w:t>
      </w:r>
    </w:p>
    <w:p w14:paraId="20D19648" w14:textId="77777777" w:rsidR="00EC7A51" w:rsidRPr="009E03A0" w:rsidRDefault="00EC7A51" w:rsidP="00EC7A51">
      <w:r w:rsidRPr="009E03A0">
        <w:t>Ogólne wymagania dotyczące transportu podano w STWIORB D-M.00.00.00.”Wymagania ogólne” pkt.4.</w:t>
      </w:r>
    </w:p>
    <w:p w14:paraId="237F163C" w14:textId="77777777" w:rsidR="00EC7A51" w:rsidRPr="009E03A0" w:rsidRDefault="00EC7A51" w:rsidP="00EC7A51">
      <w:r w:rsidRPr="009E03A0">
        <w:t>Materiały mogą być przewożone dowolnym środkiem transportu.</w:t>
      </w:r>
    </w:p>
    <w:p w14:paraId="5D84B99C" w14:textId="77777777" w:rsidR="00EC7A51" w:rsidRPr="009E03A0" w:rsidRDefault="00EC7A51" w:rsidP="00EC7A51">
      <w:r w:rsidRPr="009E03A0">
        <w:t>Sposób transportu materiałów lub wyrobów przewidzianych do zastosowania podczas zabezpieczenia powierzchni nie może powodować obniżenia ich jakości lub powstania ich uszkodzeń.</w:t>
      </w:r>
    </w:p>
    <w:p w14:paraId="47D19041" w14:textId="77777777" w:rsidR="00EC7A51" w:rsidRPr="009E03A0" w:rsidRDefault="00EC7A51" w:rsidP="00EC7A51">
      <w:r w:rsidRPr="009E03A0">
        <w:t>Materiały chemiczne i łatwopalne należy transportować w fabrycznie zamkniętych opakowaniach zgodnie z zasadami i wymaganiami podanymi przez producenta, oraz zgodnie z innymi obowiązującymi w tym zakresie przepisami.</w:t>
      </w:r>
    </w:p>
    <w:p w14:paraId="4D97EDBF" w14:textId="77777777" w:rsidR="00EC7A51" w:rsidRPr="009E03A0" w:rsidRDefault="00EC7A51" w:rsidP="00EC7A51">
      <w:pPr>
        <w:pStyle w:val="Nagwek1"/>
      </w:pPr>
      <w:bookmarkStart w:id="16" w:name="_Toc140004077"/>
      <w:bookmarkStart w:id="17" w:name="_Toc144269960"/>
      <w:r w:rsidRPr="009E03A0">
        <w:t>WYKONANIE ROBÓT</w:t>
      </w:r>
      <w:bookmarkEnd w:id="16"/>
      <w:bookmarkEnd w:id="17"/>
    </w:p>
    <w:p w14:paraId="588893F3" w14:textId="77777777" w:rsidR="00EC7A51" w:rsidRPr="009E03A0" w:rsidRDefault="00EC7A51" w:rsidP="00EC7A51">
      <w:pPr>
        <w:pStyle w:val="Nagwek2"/>
      </w:pPr>
      <w:r w:rsidRPr="009E03A0">
        <w:t>Przygotowanie podłoża</w:t>
      </w:r>
    </w:p>
    <w:p w14:paraId="0AA0A9C5" w14:textId="77777777" w:rsidR="00EC7A51" w:rsidRPr="009E03A0" w:rsidRDefault="00EC7A51" w:rsidP="00EC7A51">
      <w:r w:rsidRPr="009E03A0">
        <w:t>Podłoże betonowe musi być wystarczająco wytrzymałe (minimalna klasa betonu podłoża B25). Powierzchnia winna być sucha, przyczepna i pozbawiona elementów nie związanych z podłożem. Warstwy o niewystarczającej nośności lub zanieczyszczone olejami należy usunąć mechanicznie, np. za pomocą oczyszczania strumieniowo – ściernego. Przed układaniem nawierzchni podłoże należy zagruntować środkami przewidzianymi dla przedmiotowego typu nawierzchni.</w:t>
      </w:r>
    </w:p>
    <w:p w14:paraId="509DB1E6" w14:textId="77777777" w:rsidR="00EC7A51" w:rsidRPr="009E03A0" w:rsidRDefault="00EC7A51" w:rsidP="00EC7A51">
      <w:r w:rsidRPr="009E03A0">
        <w:t>Przygotowanie materiału nawierzchniowego do układania</w:t>
      </w:r>
    </w:p>
    <w:p w14:paraId="4CBE9B65" w14:textId="77777777" w:rsidR="00EC7A51" w:rsidRPr="009E03A0" w:rsidRDefault="00EC7A51" w:rsidP="00EC7A51">
      <w:r w:rsidRPr="009E03A0">
        <w:t xml:space="preserve">Materiał nawierzchniowy należy przygotować i wymieszać według instrukcji producenta materiału. </w:t>
      </w:r>
    </w:p>
    <w:p w14:paraId="475C5F89" w14:textId="77777777" w:rsidR="00EC7A51" w:rsidRPr="009E03A0" w:rsidRDefault="00EC7A51" w:rsidP="00EC7A51">
      <w:pPr>
        <w:pStyle w:val="Nagwek2"/>
      </w:pPr>
      <w:r w:rsidRPr="009E03A0">
        <w:lastRenderedPageBreak/>
        <w:t>Metody układania</w:t>
      </w:r>
    </w:p>
    <w:p w14:paraId="3DC9EF8C" w14:textId="77777777" w:rsidR="00EC7A51" w:rsidRPr="009E03A0" w:rsidRDefault="00EC7A51" w:rsidP="00EC7A51">
      <w:r w:rsidRPr="009E03A0">
        <w:t>Gruntowanie podłoża – pierwsza warstwa gruntu powinna być nanoszona pędzlem. W przypadku układania dwóch warstw warstwa pierwsza powinna być pokryta piaskiem kwarcowym o uziarnieniu 0,2-</w:t>
      </w:r>
      <w:smartTag w:uri="urn:schemas-microsoft-com:office:smarttags" w:element="metricconverter">
        <w:smartTagPr>
          <w:attr w:name="ProductID" w:val="0,7 mm"/>
        </w:smartTagPr>
        <w:r w:rsidRPr="009E03A0">
          <w:t>0,7 mm</w:t>
        </w:r>
      </w:smartTag>
      <w:r w:rsidRPr="009E03A0">
        <w:t>. Jeżeli okaże się niezbędne nanoszenie drugiej warstwy, należy nanosić ją wałkiem lub pędzlem. Temperaturę, czas układania kolejnych warstw i wytrzymałość mechaniczną podaje instrukcja producenta i Aprobata Techniczna.</w:t>
      </w:r>
    </w:p>
    <w:p w14:paraId="06F7B377" w14:textId="77777777" w:rsidR="00EC7A51" w:rsidRPr="009E03A0" w:rsidRDefault="00EC7A51" w:rsidP="00EC7A51">
      <w:r w:rsidRPr="009E03A0">
        <w:t>Wykonanie warstwy nawierzchniowej - materiał nanosić w jednej warstwie przez szpachlowanie (lub rozprowadzić wałkiem) przy pomocy listwy gumowej na prowadnicach stanowiących zarazem podkładki dystansowe dla zachowania odpowiedniej grubości warstwy.</w:t>
      </w:r>
    </w:p>
    <w:p w14:paraId="67AC9B65" w14:textId="77777777" w:rsidR="00EC7A51" w:rsidRPr="009E03A0" w:rsidRDefault="00EC7A51" w:rsidP="00EC7A51">
      <w:r w:rsidRPr="009E03A0">
        <w:t>Materiał można układać, gdy temperatura powietrza i podłoża mieści się w granicach od +10 do +300</w:t>
      </w:r>
      <w:r w:rsidRPr="009E03A0">
        <w:rPr>
          <w:vertAlign w:val="superscript"/>
        </w:rPr>
        <w:t>o</w:t>
      </w:r>
      <w:r w:rsidRPr="009E03A0">
        <w:t xml:space="preserve">C. Po ułożeniu świeżą warstwę materiału nawierzchniowego należy odpowietrzyć wałkiem </w:t>
      </w:r>
      <w:proofErr w:type="spellStart"/>
      <w:r w:rsidRPr="009E03A0">
        <w:t>okolcowanym</w:t>
      </w:r>
      <w:proofErr w:type="spellEnd"/>
      <w:r w:rsidRPr="009E03A0">
        <w:t xml:space="preserve"> a następnie obficie posypać piaskiem kwarcowym o uziarnieniu od 0,3 do 0,7mm.</w:t>
      </w:r>
    </w:p>
    <w:p w14:paraId="63D25040" w14:textId="77777777" w:rsidR="00EC7A51" w:rsidRPr="009E03A0" w:rsidRDefault="00EC7A51" w:rsidP="00EC7A51">
      <w:pPr>
        <w:pStyle w:val="Nagwek2"/>
      </w:pPr>
      <w:r w:rsidRPr="009E03A0">
        <w:t>Warunki BHP</w:t>
      </w:r>
    </w:p>
    <w:p w14:paraId="165D89EF" w14:textId="77777777" w:rsidR="00EC7A51" w:rsidRPr="009E03A0" w:rsidRDefault="00EC7A51" w:rsidP="00EC7A51">
      <w:r w:rsidRPr="009E03A0">
        <w:t>Podczas prac należy stosować się do przepisów i wskazówek podawanych przez producenta.</w:t>
      </w:r>
    </w:p>
    <w:p w14:paraId="1D8151C5" w14:textId="77777777" w:rsidR="00EC7A51" w:rsidRPr="009E03A0" w:rsidRDefault="00EC7A51" w:rsidP="00EC7A51">
      <w:r w:rsidRPr="009E03A0">
        <w:t>Nie wolno zbliżać się z otwartym ogniem ani spawać.</w:t>
      </w:r>
    </w:p>
    <w:p w14:paraId="052AB209" w14:textId="77777777" w:rsidR="00EC7A51" w:rsidRPr="009E03A0" w:rsidRDefault="00EC7A51" w:rsidP="00EC7A51">
      <w:pPr>
        <w:pStyle w:val="Nagwek1"/>
      </w:pPr>
      <w:bookmarkStart w:id="18" w:name="_Toc140004078"/>
      <w:bookmarkStart w:id="19" w:name="_Toc144269961"/>
      <w:r w:rsidRPr="009E03A0">
        <w:t>KONTROLA ROBÓT</w:t>
      </w:r>
      <w:bookmarkEnd w:id="18"/>
      <w:bookmarkEnd w:id="19"/>
    </w:p>
    <w:p w14:paraId="51FCB0FA" w14:textId="77777777" w:rsidR="00EC7A51" w:rsidRPr="009E03A0" w:rsidRDefault="00EC7A51" w:rsidP="00EC7A51">
      <w:pPr>
        <w:pStyle w:val="Nagwek2"/>
      </w:pPr>
      <w:r w:rsidRPr="009E03A0">
        <w:t xml:space="preserve">Ogólne zasady kontroli jakości </w:t>
      </w:r>
    </w:p>
    <w:p w14:paraId="661E3904" w14:textId="77777777" w:rsidR="00EC7A51" w:rsidRPr="009E03A0" w:rsidRDefault="00EC7A51" w:rsidP="00EC7A51">
      <w:r w:rsidRPr="009E03A0">
        <w:t>Ogólne zasady kontroli jakości podano w STWIORB D-M.00.00.00. „Wymagania ogólne” pkt.6., pozostałe wymagania podano poniżej.</w:t>
      </w:r>
    </w:p>
    <w:p w14:paraId="307E3242" w14:textId="77777777" w:rsidR="00EC7A51" w:rsidRPr="009E03A0" w:rsidRDefault="00EC7A51" w:rsidP="00EC7A51">
      <w:pPr>
        <w:pStyle w:val="Nagwek2"/>
      </w:pPr>
      <w:r w:rsidRPr="009E03A0">
        <w:t xml:space="preserve">Zasady kontroli jakości robót </w:t>
      </w:r>
    </w:p>
    <w:p w14:paraId="745AE5B7" w14:textId="77777777" w:rsidR="00EC7A51" w:rsidRPr="009E03A0" w:rsidRDefault="00EC7A51" w:rsidP="00EC7A51">
      <w:r w:rsidRPr="009E03A0">
        <w:t>Należy sprawdzać zgodność rzeczywistych warunków wykonywania robót izolacyjnych z określonymi STWIORB z potwierdzeniem ich w formie zapisu do dziennika budowy. Przy każdym odbiorze robót zanikających należy stwierdzić ich jakość w formie protokołu odbioru robót lub wpisu do dziennika budowy.</w:t>
      </w:r>
    </w:p>
    <w:p w14:paraId="5E2B9238" w14:textId="77777777" w:rsidR="00EC7A51" w:rsidRPr="009E03A0" w:rsidRDefault="00EC7A51" w:rsidP="00EC7A51">
      <w:pPr>
        <w:pStyle w:val="Nagwek2"/>
      </w:pPr>
      <w:r w:rsidRPr="009E03A0">
        <w:t>Odbiory międzyoperacyjne</w:t>
      </w:r>
    </w:p>
    <w:p w14:paraId="4895482F" w14:textId="77777777" w:rsidR="00EC7A51" w:rsidRPr="009E03A0" w:rsidRDefault="00EC7A51" w:rsidP="00EC7A51">
      <w:r w:rsidRPr="009E03A0">
        <w:t>Odbiorom międzyoperacyjnym podlegają następujące prace:</w:t>
      </w:r>
    </w:p>
    <w:p w14:paraId="21FF04C0" w14:textId="77777777" w:rsidR="00EC7A51" w:rsidRPr="009E03A0" w:rsidRDefault="00EC7A51" w:rsidP="00EC7A51">
      <w:pPr>
        <w:pStyle w:val="Akapitzlist"/>
        <w:numPr>
          <w:ilvl w:val="0"/>
          <w:numId w:val="11"/>
        </w:numPr>
      </w:pPr>
      <w:r w:rsidRPr="009E03A0">
        <w:t>przygotowanie powierzchni do gruntowania;</w:t>
      </w:r>
    </w:p>
    <w:p w14:paraId="4F65ECC7" w14:textId="77777777" w:rsidR="00EC7A51" w:rsidRPr="009E03A0" w:rsidRDefault="00EC7A51" w:rsidP="00EC7A51">
      <w:pPr>
        <w:pStyle w:val="Akapitzlist"/>
        <w:numPr>
          <w:ilvl w:val="0"/>
          <w:numId w:val="11"/>
        </w:numPr>
      </w:pPr>
      <w:r w:rsidRPr="009E03A0">
        <w:t>wykonanie warstwy podkładu gruntującego;</w:t>
      </w:r>
    </w:p>
    <w:p w14:paraId="14395C85" w14:textId="77777777" w:rsidR="00EC7A51" w:rsidRPr="009E03A0" w:rsidRDefault="00EC7A51" w:rsidP="00EC7A51">
      <w:pPr>
        <w:pStyle w:val="Akapitzlist"/>
        <w:numPr>
          <w:ilvl w:val="0"/>
          <w:numId w:val="11"/>
        </w:numPr>
      </w:pPr>
      <w:r w:rsidRPr="009E03A0">
        <w:t>wykonanie warstwy wierzchniej;</w:t>
      </w:r>
    </w:p>
    <w:p w14:paraId="779F2611" w14:textId="77777777" w:rsidR="00EC7A51" w:rsidRPr="009E03A0" w:rsidRDefault="00EC7A51" w:rsidP="00EC7A51">
      <w:pPr>
        <w:pStyle w:val="Akapitzlist"/>
        <w:numPr>
          <w:ilvl w:val="0"/>
          <w:numId w:val="11"/>
        </w:numPr>
      </w:pPr>
      <w:r w:rsidRPr="009E03A0">
        <w:t>wykonanie posypki piaskowej;</w:t>
      </w:r>
    </w:p>
    <w:p w14:paraId="2F844C85" w14:textId="77777777" w:rsidR="00EC7A51" w:rsidRPr="009E03A0" w:rsidRDefault="00EC7A51" w:rsidP="00EC7A51">
      <w:pPr>
        <w:pStyle w:val="Akapitzlist"/>
        <w:numPr>
          <w:ilvl w:val="0"/>
          <w:numId w:val="11"/>
        </w:numPr>
      </w:pPr>
      <w:r w:rsidRPr="009E03A0">
        <w:t>wykonanie warstwy uszczelniającej.</w:t>
      </w:r>
    </w:p>
    <w:p w14:paraId="017844FD" w14:textId="77777777" w:rsidR="00EC7A51" w:rsidRPr="009E03A0" w:rsidRDefault="00EC7A51" w:rsidP="00EC7A51">
      <w:pPr>
        <w:pStyle w:val="Normalny1"/>
        <w:ind w:right="-9"/>
      </w:pPr>
      <w:r w:rsidRPr="009E03A0">
        <w:t>Odbiór każdego etapu powinien być potwierdzony wpisem do dziennika budowy, Odbioru dokonuje Inżynier na podstawie zgłoszenia Wykonawcy.</w:t>
      </w:r>
    </w:p>
    <w:p w14:paraId="7DFB5A00" w14:textId="77777777" w:rsidR="00EC7A51" w:rsidRPr="009E03A0" w:rsidRDefault="00EC7A51" w:rsidP="00EC7A51">
      <w:pPr>
        <w:pStyle w:val="Nagwek2"/>
      </w:pPr>
      <w:r w:rsidRPr="009E03A0">
        <w:t>Kontrola jakości wykonywanych robót i ocena wykonanego zabezpieczenia antykorozyjnego</w:t>
      </w:r>
    </w:p>
    <w:p w14:paraId="2EB8A5C4" w14:textId="77777777" w:rsidR="00EC7A51" w:rsidRPr="009E03A0" w:rsidRDefault="00EC7A51" w:rsidP="00EC7A51">
      <w:r w:rsidRPr="009E03A0">
        <w:t>Kontrola ta i ocena związane są z odbiorami robót zanikających (odbiory międzyoperacyjne) i odbiorem końcowym.</w:t>
      </w:r>
    </w:p>
    <w:p w14:paraId="7CBC27A4" w14:textId="77777777" w:rsidR="00EC7A51" w:rsidRPr="009E03A0" w:rsidRDefault="00EC7A51" w:rsidP="00EC7A51">
      <w:r w:rsidRPr="009E03A0">
        <w:t>Odbiorom międzyoperacyjnym podlegają następujące roboty:</w:t>
      </w:r>
    </w:p>
    <w:p w14:paraId="5949BDCE" w14:textId="77777777" w:rsidR="00EC7A51" w:rsidRPr="009E03A0" w:rsidRDefault="00EC7A51" w:rsidP="00EC7A51">
      <w:pPr>
        <w:pStyle w:val="Akapitzlist"/>
        <w:numPr>
          <w:ilvl w:val="0"/>
          <w:numId w:val="10"/>
        </w:numPr>
      </w:pPr>
      <w:r w:rsidRPr="009E03A0">
        <w:t xml:space="preserve">przygotowanie powierzchni do gruntowania, </w:t>
      </w:r>
    </w:p>
    <w:p w14:paraId="7D037228" w14:textId="77777777" w:rsidR="00EC7A51" w:rsidRPr="009E03A0" w:rsidRDefault="00EC7A51" w:rsidP="00EC7A51">
      <w:pPr>
        <w:pStyle w:val="Akapitzlist"/>
        <w:numPr>
          <w:ilvl w:val="0"/>
          <w:numId w:val="10"/>
        </w:numPr>
      </w:pPr>
      <w:r w:rsidRPr="009E03A0">
        <w:t>nałożenie warstw podkładowych,</w:t>
      </w:r>
    </w:p>
    <w:p w14:paraId="083F5F12" w14:textId="77777777" w:rsidR="00EC7A51" w:rsidRPr="009E03A0" w:rsidRDefault="00EC7A51" w:rsidP="00EC7A51">
      <w:pPr>
        <w:pStyle w:val="Akapitzlist"/>
        <w:numPr>
          <w:ilvl w:val="0"/>
          <w:numId w:val="10"/>
        </w:numPr>
      </w:pPr>
      <w:r w:rsidRPr="009E03A0">
        <w:t>nałożenie warstwy izolacji,</w:t>
      </w:r>
    </w:p>
    <w:p w14:paraId="022EF6CE" w14:textId="77777777" w:rsidR="00EC7A51" w:rsidRPr="009E03A0" w:rsidRDefault="00EC7A51" w:rsidP="00EC7A51">
      <w:pPr>
        <w:pStyle w:val="Akapitzlist"/>
        <w:numPr>
          <w:ilvl w:val="0"/>
          <w:numId w:val="10"/>
        </w:numPr>
      </w:pPr>
      <w:r w:rsidRPr="009E03A0">
        <w:t>pomiary grubości całkowitej grubości powłoki,</w:t>
      </w:r>
    </w:p>
    <w:p w14:paraId="5EBEF854" w14:textId="77777777" w:rsidR="00EC7A51" w:rsidRPr="009E03A0" w:rsidRDefault="00EC7A51" w:rsidP="00EC7A51">
      <w:pPr>
        <w:pStyle w:val="Akapitzlist"/>
        <w:numPr>
          <w:ilvl w:val="0"/>
          <w:numId w:val="10"/>
        </w:numPr>
      </w:pPr>
      <w:r w:rsidRPr="009E03A0">
        <w:t>pomiary przyczepności powłoką metodą „</w:t>
      </w:r>
      <w:proofErr w:type="spellStart"/>
      <w:r w:rsidRPr="009E03A0">
        <w:t>pull</w:t>
      </w:r>
      <w:proofErr w:type="spellEnd"/>
      <w:r w:rsidRPr="009E03A0">
        <w:t>-off”,</w:t>
      </w:r>
    </w:p>
    <w:p w14:paraId="5F4990E6" w14:textId="77777777" w:rsidR="00EC7A51" w:rsidRPr="009E03A0" w:rsidRDefault="00EC7A51" w:rsidP="00EC7A51">
      <w:pPr>
        <w:pStyle w:val="Nagwek2"/>
      </w:pPr>
      <w:r w:rsidRPr="009E03A0">
        <w:t>BHP i ochrona środowiska</w:t>
      </w:r>
    </w:p>
    <w:p w14:paraId="2448A4FE" w14:textId="77777777" w:rsidR="00EC7A51" w:rsidRPr="009E03A0" w:rsidRDefault="00EC7A51" w:rsidP="00EC7A51">
      <w:r w:rsidRPr="009E03A0">
        <w:t xml:space="preserve">Materiały typu epoksydowego zawierają składniki lotne, których pary są palne, a w niektórych stężeniach wybuchowe. Przy pracy należy unikać ognia, palenia papierosów w pobliżu miejsca roboczego względnie miejsca składowania. W miejscach roboczych jak i miejscu składowania musza być umieszczone napisy </w:t>
      </w:r>
      <w:r w:rsidRPr="009E03A0">
        <w:lastRenderedPageBreak/>
        <w:t>ostrzegawcze p.-</w:t>
      </w:r>
      <w:proofErr w:type="spellStart"/>
      <w:r w:rsidRPr="009E03A0">
        <w:t>poż</w:t>
      </w:r>
      <w:proofErr w:type="spellEnd"/>
      <w:r w:rsidRPr="009E03A0">
        <w:t>. Robotnicy powinni być poinstruowani o niebezpieczeństwie palenia ognia i papierosów w pobliżu wykonywanej izolacji. Unikać należy stykania się materiału ze skórą, a w wypadku podrażnienia naskórka stosować nacieranie maścią wazelinową.</w:t>
      </w:r>
    </w:p>
    <w:p w14:paraId="11EE6B29" w14:textId="77777777" w:rsidR="00EC7A51" w:rsidRPr="009E03A0" w:rsidRDefault="00EC7A51" w:rsidP="00EC7A51">
      <w:pPr>
        <w:pStyle w:val="Nagwek1"/>
      </w:pPr>
      <w:bookmarkStart w:id="20" w:name="_Toc140004079"/>
      <w:bookmarkStart w:id="21" w:name="_Toc144269962"/>
      <w:r w:rsidRPr="009E03A0">
        <w:t>OBMIAR ROBÓT</w:t>
      </w:r>
      <w:bookmarkEnd w:id="20"/>
      <w:bookmarkEnd w:id="21"/>
    </w:p>
    <w:p w14:paraId="0291B0EE" w14:textId="77777777" w:rsidR="00EC7A51" w:rsidRPr="009E03A0" w:rsidRDefault="00EC7A51" w:rsidP="00EC7A51">
      <w:pPr>
        <w:pStyle w:val="Nagwek2"/>
      </w:pPr>
      <w:r w:rsidRPr="009E03A0">
        <w:t xml:space="preserve">Ogólne wymagania dotyczące obmiaru robót </w:t>
      </w:r>
    </w:p>
    <w:p w14:paraId="2A3D544F" w14:textId="77777777" w:rsidR="00EC7A51" w:rsidRPr="009E03A0" w:rsidRDefault="00EC7A51" w:rsidP="00EC7A51">
      <w:r w:rsidRPr="009E03A0">
        <w:t>Ogólne wymagania dotyczące obmiaru robót podano w STWIORB D-M.00.00.00.”Wymagania ogólne” pkt.7.</w:t>
      </w:r>
    </w:p>
    <w:p w14:paraId="0DD816DF" w14:textId="77777777" w:rsidR="00EC7A51" w:rsidRPr="009E03A0" w:rsidRDefault="00EC7A51" w:rsidP="00EC7A51">
      <w:pPr>
        <w:pStyle w:val="Nagwek2"/>
      </w:pPr>
      <w:r w:rsidRPr="009E03A0">
        <w:t>Jednostka obmiarowa</w:t>
      </w:r>
    </w:p>
    <w:p w14:paraId="35F22E06" w14:textId="77777777" w:rsidR="00EC7A51" w:rsidRPr="009E03A0" w:rsidRDefault="00EC7A51" w:rsidP="00EC7A51">
      <w:r w:rsidRPr="009E03A0">
        <w:t xml:space="preserve">Jednostką obmiaru robót jest </w:t>
      </w:r>
      <w:smartTag w:uri="urn:schemas-microsoft-com:office:smarttags" w:element="metricconverter">
        <w:smartTagPr>
          <w:attr w:name="ProductID" w:val="1 m2"/>
        </w:smartTagPr>
        <w:r w:rsidRPr="009E03A0">
          <w:t>1 m</w:t>
        </w:r>
        <w:r w:rsidRPr="009E03A0">
          <w:rPr>
            <w:vertAlign w:val="superscript"/>
          </w:rPr>
          <w:t>2</w:t>
        </w:r>
      </w:smartTag>
      <w:r w:rsidRPr="009E03A0">
        <w:t xml:space="preserve"> zabezpieczonej poprzez nałożenie nawierzchnio - izolacji powierzchni wg wytycznych określonych w STWIORB i Dokumentacji Projektowej. </w:t>
      </w:r>
    </w:p>
    <w:p w14:paraId="26DC5AD2" w14:textId="77777777" w:rsidR="00EC7A51" w:rsidRPr="009E03A0" w:rsidRDefault="00EC7A51" w:rsidP="00EC7A51">
      <w:pPr>
        <w:pStyle w:val="Nagwek1"/>
      </w:pPr>
      <w:bookmarkStart w:id="22" w:name="_Toc140004080"/>
      <w:bookmarkStart w:id="23" w:name="_Toc144269963"/>
      <w:r w:rsidRPr="009E03A0">
        <w:t>ODBIÓR KOŃCOWY</w:t>
      </w:r>
      <w:bookmarkEnd w:id="22"/>
      <w:bookmarkEnd w:id="23"/>
    </w:p>
    <w:p w14:paraId="6E94FE6E" w14:textId="77777777" w:rsidR="00EC7A51" w:rsidRPr="009E03A0" w:rsidRDefault="00EC7A51" w:rsidP="00EC7A51">
      <w:pPr>
        <w:pStyle w:val="Nagwek2"/>
      </w:pPr>
      <w:r w:rsidRPr="009E03A0">
        <w:t xml:space="preserve">Ogólne wymagania dotyczące odbioru </w:t>
      </w:r>
    </w:p>
    <w:p w14:paraId="64F1C17D" w14:textId="77777777" w:rsidR="00EC7A51" w:rsidRPr="009E03A0" w:rsidRDefault="00EC7A51" w:rsidP="00EC7A51">
      <w:r w:rsidRPr="009E03A0">
        <w:t>Ogólne wymagania dotyczące odbioru podano w STWIORB D-M.00.00.00.”Wymagania ogólne” pkt.8.</w:t>
      </w:r>
    </w:p>
    <w:p w14:paraId="2998B83F" w14:textId="77777777" w:rsidR="00EC7A51" w:rsidRPr="009E03A0" w:rsidRDefault="00EC7A51" w:rsidP="00EC7A51">
      <w:pPr>
        <w:pStyle w:val="Nagwek2"/>
      </w:pPr>
      <w:r w:rsidRPr="009E03A0">
        <w:t xml:space="preserve">Wymagania szczegółowe </w:t>
      </w:r>
    </w:p>
    <w:p w14:paraId="62E10893" w14:textId="77777777" w:rsidR="00EC7A51" w:rsidRPr="009E03A0" w:rsidRDefault="00EC7A51" w:rsidP="00EC7A51">
      <w:r w:rsidRPr="009E03A0">
        <w:t xml:space="preserve">Podstawą odbioru końcowego jest pisemne stwierdzenie przez „Inżyniera” w dzienniku budowy zakończenia wszystkich robót związanych pracami izolacyjnymi powierzchni betonowej z zastosowaniem materiału epoksydowo-poliuretanowego. Jeżeli wszystkie badania dały wyniki dodatnie, wykonanie roboty należy uznać za zgodne z wymaganiami norm i kontraktu. Jeżeli choć jedno badanie dało wynik ujemny, wykonanie roboty należy uznać za niezgodne z wymaganiami norm i kontraktu. W takiej sytuacji wykonawca obowiązany jest doprowadzić roboty do zgodności z normą i przedstawić je do ponownego odbioru. </w:t>
      </w:r>
    </w:p>
    <w:p w14:paraId="6E12D860" w14:textId="77777777" w:rsidR="00EC7A51" w:rsidRPr="009E03A0" w:rsidRDefault="00EC7A51" w:rsidP="00EC7A51">
      <w:pPr>
        <w:pStyle w:val="Nagwek1"/>
      </w:pPr>
      <w:bookmarkStart w:id="24" w:name="_Toc140004081"/>
      <w:bookmarkStart w:id="25" w:name="_Toc144269964"/>
      <w:r w:rsidRPr="009E03A0">
        <w:t>PODSTAWA PŁATNOŚCI</w:t>
      </w:r>
      <w:bookmarkEnd w:id="24"/>
      <w:bookmarkEnd w:id="25"/>
    </w:p>
    <w:p w14:paraId="6403C712" w14:textId="77777777" w:rsidR="00EC7A51" w:rsidRPr="009E03A0" w:rsidRDefault="00EC7A51" w:rsidP="00EC7A51">
      <w:pPr>
        <w:pStyle w:val="Nagwek2"/>
      </w:pPr>
      <w:r w:rsidRPr="009E03A0">
        <w:t>Ogólne wymagania dotyczące płatności</w:t>
      </w:r>
    </w:p>
    <w:p w14:paraId="7FF8E277" w14:textId="77777777" w:rsidR="00EC7A51" w:rsidRPr="009E03A0" w:rsidRDefault="00EC7A51" w:rsidP="00EC7A51">
      <w:pPr>
        <w:pStyle w:val="Normalny1"/>
        <w:ind w:right="-9"/>
      </w:pPr>
      <w:r w:rsidRPr="009E03A0">
        <w:t>Ogólne wymagania dotyczące płatności podano w STWIORB D-M.00.00.00. „Wymagania ogólne” pkt.9.</w:t>
      </w:r>
    </w:p>
    <w:p w14:paraId="0A14E2C6" w14:textId="77777777" w:rsidR="00EC7A51" w:rsidRPr="009E03A0" w:rsidRDefault="00EC7A51" w:rsidP="00EC7A51">
      <w:pPr>
        <w:pStyle w:val="Nagwek2"/>
      </w:pPr>
      <w:r w:rsidRPr="009E03A0">
        <w:t xml:space="preserve">Wymagania szczegółowe </w:t>
      </w:r>
    </w:p>
    <w:p w14:paraId="5E4C7D00" w14:textId="77777777" w:rsidR="00EC7A51" w:rsidRPr="009E03A0" w:rsidRDefault="00EC7A51" w:rsidP="00EC7A51">
      <w:r w:rsidRPr="009E03A0">
        <w:t xml:space="preserve">Płatność za </w:t>
      </w:r>
      <w:smartTag w:uri="urn:schemas-microsoft-com:office:smarttags" w:element="metricconverter">
        <w:smartTagPr>
          <w:attr w:name="ProductID" w:val="1 m2"/>
        </w:smartTagPr>
        <w:r w:rsidRPr="009E03A0">
          <w:t>1 m</w:t>
        </w:r>
        <w:r w:rsidRPr="009E03A0">
          <w:rPr>
            <w:vertAlign w:val="superscript"/>
          </w:rPr>
          <w:t>2</w:t>
        </w:r>
      </w:smartTag>
      <w:r w:rsidRPr="009E03A0">
        <w:t xml:space="preserve"> wykonanej kompletnej warstwy nawierzchnio-izolacji o grubości </w:t>
      </w:r>
      <w:smartTag w:uri="urn:schemas-microsoft-com:office:smarttags" w:element="metricconverter">
        <w:smartTagPr>
          <w:attr w:name="ProductID" w:val="6 mm"/>
        </w:smartTagPr>
        <w:r w:rsidRPr="009E03A0">
          <w:t>6 mm</w:t>
        </w:r>
      </w:smartTag>
      <w:r w:rsidRPr="009E03A0">
        <w:t xml:space="preserve"> wraz z wykonaniem podkładów gruntujących. zgodnie z dokumentacją Projektową, obmiarem robót, atestem producenta materiałów i oceną jakości wykonanych robót.</w:t>
      </w:r>
    </w:p>
    <w:p w14:paraId="3764563F" w14:textId="77777777" w:rsidR="00EC7A51" w:rsidRPr="009E03A0" w:rsidRDefault="00EC7A51" w:rsidP="00EC7A51">
      <w:r w:rsidRPr="009E03A0">
        <w:t>Cena wykonania robót obejmuje:</w:t>
      </w:r>
    </w:p>
    <w:p w14:paraId="1F4D8249" w14:textId="77777777" w:rsidR="00EC7A51" w:rsidRPr="009E03A0" w:rsidRDefault="00EC7A51" w:rsidP="00EC7A51">
      <w:pPr>
        <w:pStyle w:val="Akapitzlist"/>
        <w:numPr>
          <w:ilvl w:val="0"/>
          <w:numId w:val="8"/>
        </w:numPr>
      </w:pPr>
      <w:r w:rsidRPr="009E03A0">
        <w:t>zakup i transport materiałów niezbędnych do wykonania robót,</w:t>
      </w:r>
    </w:p>
    <w:p w14:paraId="7B8BE45C" w14:textId="77777777" w:rsidR="00EC7A51" w:rsidRPr="009E03A0" w:rsidRDefault="00EC7A51" w:rsidP="00EC7A51">
      <w:pPr>
        <w:pStyle w:val="Akapitzlist"/>
        <w:numPr>
          <w:ilvl w:val="0"/>
          <w:numId w:val="8"/>
        </w:numPr>
      </w:pPr>
      <w:r w:rsidRPr="009E03A0">
        <w:t>przygotowanie powierzchni betonowej do zabezpieczenia,</w:t>
      </w:r>
    </w:p>
    <w:p w14:paraId="40C4A651" w14:textId="77777777" w:rsidR="00EC7A51" w:rsidRPr="009E03A0" w:rsidRDefault="00EC7A51" w:rsidP="00EC7A51">
      <w:pPr>
        <w:pStyle w:val="Akapitzlist"/>
        <w:numPr>
          <w:ilvl w:val="0"/>
          <w:numId w:val="8"/>
        </w:numPr>
      </w:pPr>
      <w:r w:rsidRPr="009E03A0">
        <w:t xml:space="preserve">wykonanie nawierzchnio-izolacji, </w:t>
      </w:r>
    </w:p>
    <w:p w14:paraId="532D45DE" w14:textId="77777777" w:rsidR="00EC7A51" w:rsidRPr="009E03A0" w:rsidRDefault="00EC7A51" w:rsidP="00EC7A51">
      <w:pPr>
        <w:pStyle w:val="Akapitzlist"/>
        <w:numPr>
          <w:ilvl w:val="0"/>
          <w:numId w:val="8"/>
        </w:numPr>
      </w:pPr>
      <w:r w:rsidRPr="009E03A0">
        <w:t>wykonanie niezbędnych pomiarów i badań,</w:t>
      </w:r>
    </w:p>
    <w:p w14:paraId="0ADE4AB1" w14:textId="77777777" w:rsidR="00EC7A51" w:rsidRPr="009E03A0" w:rsidRDefault="00EC7A51" w:rsidP="00EC7A51">
      <w:pPr>
        <w:pStyle w:val="Akapitzlist"/>
        <w:numPr>
          <w:ilvl w:val="0"/>
          <w:numId w:val="8"/>
        </w:numPr>
      </w:pPr>
      <w:r w:rsidRPr="009E03A0">
        <w:t>uporządkowanie miejsca prowadzonych robót,</w:t>
      </w:r>
    </w:p>
    <w:p w14:paraId="0CE41124" w14:textId="77777777" w:rsidR="00EC7A51" w:rsidRPr="009E03A0" w:rsidRDefault="00EC7A51" w:rsidP="00EC7A51">
      <w:pPr>
        <w:pStyle w:val="Nagwek1"/>
      </w:pPr>
      <w:bookmarkStart w:id="26" w:name="_Toc140004082"/>
      <w:bookmarkStart w:id="27" w:name="_Toc144269965"/>
      <w:r w:rsidRPr="009E03A0">
        <w:t>PRZEPISY ZWIĄZANE</w:t>
      </w:r>
      <w:bookmarkEnd w:id="26"/>
      <w:bookmarkEnd w:id="27"/>
    </w:p>
    <w:p w14:paraId="24724555" w14:textId="77777777" w:rsidR="00EC7A51" w:rsidRPr="009E03A0" w:rsidRDefault="00EC7A51" w:rsidP="00EC7A51">
      <w:pPr>
        <w:pStyle w:val="Nagwek2"/>
      </w:pPr>
      <w:r w:rsidRPr="009E03A0">
        <w:t>Normy</w:t>
      </w:r>
    </w:p>
    <w:p w14:paraId="4EDA8AA5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PN-74/B-24622</w:t>
      </w:r>
      <w:r w:rsidRPr="00B61DAB">
        <w:tab/>
        <w:t>„Roztwór asfaltowy do gruntowania.”</w:t>
      </w:r>
    </w:p>
    <w:p w14:paraId="3105C1B2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BN-66/6753-01</w:t>
      </w:r>
      <w:r w:rsidRPr="00B61DAB">
        <w:tab/>
        <w:t>„Emulsja asfaltowa do izolacji przeciwwilgociowej lekkiego typu”</w:t>
      </w:r>
    </w:p>
    <w:p w14:paraId="44E496C4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 xml:space="preserve">PN-71/H-04651 </w:t>
      </w:r>
      <w:r w:rsidRPr="00B61DAB">
        <w:tab/>
        <w:t>„Ochrona przed korozją. Klasyfikacja i określenie agresywności korozyjnej środowisk żeliwa do malowania.”</w:t>
      </w:r>
    </w:p>
    <w:p w14:paraId="1078B386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PN-79/H-97070</w:t>
      </w:r>
      <w:r w:rsidRPr="00B61DAB">
        <w:tab/>
        <w:t>„Ochrona przed korozją. Pokrycia lakierowe. Wytyczne ogólne.”</w:t>
      </w:r>
    </w:p>
    <w:p w14:paraId="018BD8C0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lastRenderedPageBreak/>
        <w:t>PN-81/C-81508</w:t>
      </w:r>
      <w:r w:rsidRPr="00B61DAB">
        <w:tab/>
        <w:t>„Wyroby lakierowe. Oznaczenie czasu wpływu kubkami wpływowymi (lepkość umowna).”</w:t>
      </w:r>
    </w:p>
    <w:p w14:paraId="6D06F2A6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PN-74/C-81515</w:t>
      </w:r>
      <w:r w:rsidRPr="00B61DAB">
        <w:tab/>
        <w:t>„Wyroby lakierowe. Nie niszczące pomiary grubości powłok.”</w:t>
      </w:r>
    </w:p>
    <w:p w14:paraId="3E97AD49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PN-79/C-81519</w:t>
      </w:r>
      <w:r w:rsidRPr="00B61DAB">
        <w:tab/>
        <w:t>„Wyroby lakierowe. Oznaczenie stopnia wyschnięcia.”</w:t>
      </w:r>
    </w:p>
    <w:p w14:paraId="5BDFACF3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PN-80/C-81531</w:t>
      </w:r>
      <w:r w:rsidRPr="00B61DAB">
        <w:tab/>
        <w:t>„Wyroby lakierowe. Określenie przyczepności powłok do podłoża oraz przyczepności międzywarstwowej.”</w:t>
      </w:r>
    </w:p>
    <w:p w14:paraId="2EFAC18B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PN-83/C-81545</w:t>
      </w:r>
      <w:r w:rsidRPr="00B61DAB">
        <w:tab/>
        <w:t>„Wyroby lakierowe. Pomiar grubości mokrych warstw.”</w:t>
      </w:r>
    </w:p>
    <w:p w14:paraId="64DFAE1C" w14:textId="77777777" w:rsidR="00EC7A51" w:rsidRPr="009E03A0" w:rsidRDefault="00EC7A51" w:rsidP="00EC7A51">
      <w:pPr>
        <w:pStyle w:val="Nagwek2"/>
      </w:pPr>
      <w:r w:rsidRPr="009E03A0">
        <w:t>Inne dokumenty</w:t>
      </w:r>
    </w:p>
    <w:p w14:paraId="74276659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 xml:space="preserve">Oferta programowa 96/97 - ispo Concretin. </w:t>
      </w:r>
    </w:p>
    <w:p w14:paraId="268E600A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Aprobata techniczna IBDiM nr AT/97-03-0230.</w:t>
      </w:r>
    </w:p>
    <w:p w14:paraId="3F073547" w14:textId="77777777" w:rsidR="00EC7A51" w:rsidRPr="00B61DAB" w:rsidRDefault="00EC7A51" w:rsidP="00EC7A51">
      <w:pPr>
        <w:pStyle w:val="Akapitzlist"/>
        <w:numPr>
          <w:ilvl w:val="0"/>
          <w:numId w:val="9"/>
        </w:numPr>
      </w:pPr>
      <w:r w:rsidRPr="00B61DAB">
        <w:t>Zasady wymiany izolacji pomostów drogowych obiektów mostowych - IBDiM, W-wa, 1991r.</w:t>
      </w:r>
    </w:p>
    <w:p w14:paraId="024609B2" w14:textId="77777777" w:rsidR="00C142CE" w:rsidRDefault="00C142CE"/>
    <w:sectPr w:rsidR="00C142CE" w:rsidSect="00B3533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537958"/>
    <w:multiLevelType w:val="hybridMultilevel"/>
    <w:tmpl w:val="F7BA3034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414D33"/>
    <w:multiLevelType w:val="hybridMultilevel"/>
    <w:tmpl w:val="EBA264CC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F56525F"/>
    <w:multiLevelType w:val="hybridMultilevel"/>
    <w:tmpl w:val="94D0838A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32D1F0D"/>
    <w:multiLevelType w:val="hybridMultilevel"/>
    <w:tmpl w:val="1ACA197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5D34D45"/>
    <w:multiLevelType w:val="hybridMultilevel"/>
    <w:tmpl w:val="113EF360"/>
    <w:lvl w:ilvl="0" w:tplc="CC186870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28AF0BF6"/>
    <w:multiLevelType w:val="hybridMultilevel"/>
    <w:tmpl w:val="356E12CA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D5115B3"/>
    <w:multiLevelType w:val="hybridMultilevel"/>
    <w:tmpl w:val="637E4688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E6829D6"/>
    <w:multiLevelType w:val="multilevel"/>
    <w:tmpl w:val="7090E68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253558D"/>
    <w:multiLevelType w:val="hybridMultilevel"/>
    <w:tmpl w:val="85B4EC20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B762245"/>
    <w:multiLevelType w:val="hybridMultilevel"/>
    <w:tmpl w:val="D7D22808"/>
    <w:lvl w:ilvl="0" w:tplc="DD6C13A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11641806">
    <w:abstractNumId w:val="8"/>
  </w:num>
  <w:num w:numId="2" w16cid:durableId="12105314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8203860">
    <w:abstractNumId w:val="5"/>
  </w:num>
  <w:num w:numId="4" w16cid:durableId="1491673360">
    <w:abstractNumId w:val="1"/>
  </w:num>
  <w:num w:numId="5" w16cid:durableId="327172832">
    <w:abstractNumId w:val="9"/>
  </w:num>
  <w:num w:numId="6" w16cid:durableId="1368868531">
    <w:abstractNumId w:val="6"/>
  </w:num>
  <w:num w:numId="7" w16cid:durableId="297761751">
    <w:abstractNumId w:val="2"/>
  </w:num>
  <w:num w:numId="8" w16cid:durableId="917978493">
    <w:abstractNumId w:val="7"/>
  </w:num>
  <w:num w:numId="9" w16cid:durableId="726494884">
    <w:abstractNumId w:val="4"/>
  </w:num>
  <w:num w:numId="10" w16cid:durableId="1563712844">
    <w:abstractNumId w:val="10"/>
  </w:num>
  <w:num w:numId="11" w16cid:durableId="2046561200">
    <w:abstractNumId w:val="3"/>
  </w:num>
  <w:num w:numId="12" w16cid:durableId="16802346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B5"/>
    <w:rsid w:val="00195DA6"/>
    <w:rsid w:val="002D479B"/>
    <w:rsid w:val="00384AAC"/>
    <w:rsid w:val="003D257C"/>
    <w:rsid w:val="0051472E"/>
    <w:rsid w:val="00783A1E"/>
    <w:rsid w:val="00B3533C"/>
    <w:rsid w:val="00C142CE"/>
    <w:rsid w:val="00DA4C11"/>
    <w:rsid w:val="00EC7A51"/>
    <w:rsid w:val="00ED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C19F2D"/>
  <w15:chartTrackingRefBased/>
  <w15:docId w15:val="{01F8B51E-6B49-4B6A-95C7-10048DBD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A51"/>
    <w:pPr>
      <w:spacing w:after="0" w:line="276" w:lineRule="auto"/>
      <w:ind w:left="340" w:firstLine="340"/>
      <w:jc w:val="both"/>
    </w:pPr>
    <w:rPr>
      <w:rFonts w:ascii="Times New Roman" w:hAnsi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C7A51"/>
    <w:pPr>
      <w:keepNext/>
      <w:numPr>
        <w:numId w:val="1"/>
      </w:numPr>
      <w:spacing w:before="240" w:line="360" w:lineRule="auto"/>
      <w:contextualSpacing/>
      <w:jc w:val="left"/>
      <w:outlineLvl w:val="0"/>
    </w:pPr>
    <w:rPr>
      <w:rFonts w:eastAsiaTheme="majorEastAsia" w:cstheme="majorBidi"/>
      <w:b/>
      <w:caps/>
      <w:smallCaps/>
      <w:spacing w:val="6"/>
      <w:sz w:val="24"/>
      <w:szCs w:val="36"/>
      <w:lang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EC7A51"/>
    <w:pPr>
      <w:keepNext/>
      <w:keepLines/>
      <w:numPr>
        <w:ilvl w:val="1"/>
        <w:numId w:val="1"/>
      </w:numPr>
      <w:spacing w:before="120" w:line="360" w:lineRule="auto"/>
      <w:textboxTightWrap w:val="allLines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EC7A51"/>
    <w:pPr>
      <w:numPr>
        <w:ilvl w:val="2"/>
      </w:numPr>
      <w:ind w:left="1077"/>
      <w:outlineLvl w:val="2"/>
    </w:pPr>
    <w:rPr>
      <w:sz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EC7A51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7A51"/>
    <w:rPr>
      <w:rFonts w:ascii="Times New Roman" w:eastAsiaTheme="majorEastAsia" w:hAnsi="Times New Roman" w:cstheme="majorBidi"/>
      <w:b/>
      <w:caps/>
      <w:smallCaps/>
      <w:spacing w:val="6"/>
      <w:kern w:val="0"/>
      <w:sz w:val="24"/>
      <w:szCs w:val="36"/>
      <w:lang w:bidi="en-US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C7A51"/>
    <w:rPr>
      <w:rFonts w:ascii="Times New Roman" w:eastAsiaTheme="majorEastAsia" w:hAnsi="Times New Roman" w:cstheme="majorBidi"/>
      <w:b/>
      <w:bCs/>
      <w:kern w:val="0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C7A51"/>
    <w:rPr>
      <w:rFonts w:ascii="Times New Roman" w:eastAsiaTheme="majorEastAsia" w:hAnsi="Times New Roman" w:cstheme="majorBidi"/>
      <w:b/>
      <w:bCs/>
      <w:kern w:val="0"/>
      <w:sz w:val="20"/>
      <w:szCs w:val="26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EC7A51"/>
    <w:rPr>
      <w:rFonts w:ascii="Times New Roman" w:eastAsiaTheme="majorEastAsia" w:hAnsi="Times New Roman" w:cstheme="majorBidi"/>
      <w:b/>
      <w:bCs/>
      <w:i/>
      <w:iCs/>
      <w:kern w:val="0"/>
      <w:sz w:val="20"/>
      <w14:ligatures w14:val="none"/>
    </w:rPr>
  </w:style>
  <w:style w:type="paragraph" w:styleId="Akapitzlist">
    <w:name w:val="List Paragraph"/>
    <w:basedOn w:val="Normalny"/>
    <w:qFormat/>
    <w:rsid w:val="00EC7A51"/>
    <w:pPr>
      <w:ind w:left="357" w:firstLine="0"/>
      <w:contextualSpacing/>
    </w:pPr>
  </w:style>
  <w:style w:type="paragraph" w:customStyle="1" w:styleId="Normalny1">
    <w:name w:val="Normalny1"/>
    <w:basedOn w:val="Normalny"/>
    <w:link w:val="normalZnak"/>
    <w:rsid w:val="00EC7A51"/>
    <w:pPr>
      <w:widowControl w:val="0"/>
      <w:spacing w:line="240" w:lineRule="auto"/>
      <w:ind w:firstLine="0"/>
    </w:pPr>
    <w:rPr>
      <w:rFonts w:eastAsia="Times New Roman" w:cs="Times New Roman"/>
      <w:szCs w:val="20"/>
      <w:lang w:eastAsia="pl-PL"/>
    </w:rPr>
  </w:style>
  <w:style w:type="character" w:customStyle="1" w:styleId="normalZnak">
    <w:name w:val="normal Znak"/>
    <w:basedOn w:val="Domylnaczcionkaakapitu"/>
    <w:link w:val="Normalny1"/>
    <w:rsid w:val="00EC7A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Legenda">
    <w:name w:val="Styl Legenda"/>
    <w:basedOn w:val="Legenda"/>
    <w:next w:val="Tekstpodstawowy"/>
    <w:qFormat/>
    <w:rsid w:val="00EC7A51"/>
    <w:pPr>
      <w:pageBreakBefore/>
      <w:spacing w:before="120" w:after="120"/>
      <w:ind w:firstLine="0"/>
      <w:jc w:val="left"/>
    </w:pPr>
    <w:rPr>
      <w:rFonts w:eastAsia="Times New Roman" w:cs="Arial"/>
      <w:b/>
      <w:bCs/>
      <w:i w:val="0"/>
      <w:color w:val="auto"/>
      <w:sz w:val="20"/>
      <w:szCs w:val="24"/>
      <w:lang w:eastAsia="pl-PL"/>
    </w:rPr>
  </w:style>
  <w:style w:type="paragraph" w:customStyle="1" w:styleId="Kody">
    <w:name w:val="Kody"/>
    <w:basedOn w:val="Normalny"/>
    <w:next w:val="Normalny"/>
    <w:link w:val="KodyZnak"/>
    <w:qFormat/>
    <w:rsid w:val="00EC7A51"/>
    <w:pPr>
      <w:spacing w:line="360" w:lineRule="auto"/>
      <w:ind w:firstLine="0"/>
    </w:pPr>
    <w:rPr>
      <w:b/>
      <w:u w:val="single"/>
    </w:rPr>
  </w:style>
  <w:style w:type="character" w:customStyle="1" w:styleId="KodyZnak">
    <w:name w:val="Kody Znak"/>
    <w:basedOn w:val="Domylnaczcionkaakapitu"/>
    <w:link w:val="Kody"/>
    <w:rsid w:val="00EC7A51"/>
    <w:rPr>
      <w:rFonts w:ascii="Times New Roman" w:hAnsi="Times New Roman"/>
      <w:b/>
      <w:kern w:val="0"/>
      <w:sz w:val="20"/>
      <w:u w:val="single"/>
      <w14:ligatures w14:val="non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C7A5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A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A51"/>
    <w:rPr>
      <w:rFonts w:ascii="Times New Roman" w:hAnsi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7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1543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5</cp:revision>
  <dcterms:created xsi:type="dcterms:W3CDTF">2023-08-22T09:26:00Z</dcterms:created>
  <dcterms:modified xsi:type="dcterms:W3CDTF">2023-08-22T10:33:00Z</dcterms:modified>
</cp:coreProperties>
</file>