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90485" w14:textId="77777777" w:rsidR="00D374E3" w:rsidRDefault="00BE1DFA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49FCA" wp14:editId="53530669">
                <wp:simplePos x="0" y="0"/>
                <wp:positionH relativeFrom="column">
                  <wp:posOffset>4500245</wp:posOffset>
                </wp:positionH>
                <wp:positionV relativeFrom="paragraph">
                  <wp:posOffset>99695</wp:posOffset>
                </wp:positionV>
                <wp:extent cx="1113790" cy="540689"/>
                <wp:effectExtent l="0" t="0" r="10160" b="1206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79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06B57" w14:textId="5B4D5353" w:rsidR="00D374E3" w:rsidRDefault="00BE1DFA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4A7983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649FCA" id="Prostokąt 2" o:spid="_x0000_s1026" style="position:absolute;left:0;text-align:left;margin-left:354.35pt;margin-top:7.85pt;width:87.7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" fillcolor="white [3201]" strokecolor="black [3213]" strokeweight=".25pt">
                <v:textbox>
                  <w:txbxContent>
                    <w:p w14:paraId="56506B57" w14:textId="5B4D5353" w:rsidR="00D374E3" w:rsidRDefault="00BE1DFA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4A7983">
                        <w:rPr>
                          <w:rFonts w:ascii="Arial" w:hAnsi="Arial"/>
                          <w:sz w:val="56"/>
                          <w:szCs w:val="56"/>
                        </w:rPr>
                        <w:t>VI</w:t>
                      </w:r>
                    </w:p>
                  </w:txbxContent>
                </v:textbox>
              </v:rect>
            </w:pict>
          </mc:Fallback>
        </mc:AlternateContent>
      </w:r>
    </w:p>
    <w:p w14:paraId="7A0F3B67" w14:textId="77777777" w:rsidR="00D374E3" w:rsidRDefault="00D374E3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3566E900" w14:textId="77777777" w:rsidR="00D374E3" w:rsidRDefault="00D374E3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4805698F" w14:textId="77777777" w:rsidR="00D374E3" w:rsidRDefault="00D374E3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12AF7482" w14:textId="77777777" w:rsidR="00D374E3" w:rsidRDefault="00D374E3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01565BB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FECB436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6CA706E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F480CB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A1BCF3F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7EA81C5" w14:textId="77777777" w:rsidR="00D374E3" w:rsidRDefault="00BE1DFA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  <w:r>
        <w:rPr>
          <w:rFonts w:ascii="Arial" w:eastAsia="Arial Unicode MS" w:hAnsi="Arial"/>
          <w:sz w:val="22"/>
          <w:lang w:val="pl" w:eastAsia="ar-SA"/>
        </w:rPr>
        <w:t>SPECYFIKACJA TECHNICZNA WYKONANIA i ODBIORU ROBÓT BUDOWLANYCH</w:t>
      </w:r>
    </w:p>
    <w:p w14:paraId="7A815341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4E63EC0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6A61EB41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498B1758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80B7909" w14:textId="77777777" w:rsidR="00D374E3" w:rsidRDefault="00BE1DFA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lang w:val="pl"/>
        </w:rPr>
      </w:pPr>
      <w:r>
        <w:rPr>
          <w:rFonts w:ascii="Arial" w:eastAsiaTheme="majorEastAsia" w:hAnsi="Arial"/>
          <w:bCs/>
          <w:iCs/>
          <w:sz w:val="22"/>
          <w:lang w:val="pl"/>
        </w:rPr>
        <w:t>D - 08.03.01</w:t>
      </w:r>
    </w:p>
    <w:p w14:paraId="6B2F47F3" w14:textId="77777777" w:rsidR="00D374E3" w:rsidRDefault="00D374E3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</w:rPr>
      </w:pPr>
    </w:p>
    <w:p w14:paraId="0FE834E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</w:rPr>
      </w:pPr>
    </w:p>
    <w:p w14:paraId="5A418277" w14:textId="77777777" w:rsidR="00D374E3" w:rsidRDefault="00BE1DFA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lang w:val="pl"/>
        </w:rPr>
      </w:pPr>
      <w:r>
        <w:rPr>
          <w:rFonts w:ascii="Arial" w:eastAsiaTheme="majorEastAsia" w:hAnsi="Arial"/>
          <w:bCs/>
          <w:iCs/>
          <w:sz w:val="22"/>
          <w:lang w:val="pl"/>
        </w:rPr>
        <w:t>OBRZEŻA BETONOWE</w:t>
      </w:r>
    </w:p>
    <w:p w14:paraId="1E36EA32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3BC34746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4D920A5E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76A48BFD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219B72EE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6394DE6A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61256D0F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73D5CF82" w14:textId="77777777" w:rsidR="00D374E3" w:rsidRDefault="00D374E3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</w:p>
    <w:p w14:paraId="6C86A01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03B97C57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DE3B63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23D19CE5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B7CB311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9EE5DA8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088BBEA4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41D4D6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2330431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0D8B7466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9FD1DC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E6B77D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BE231B3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6F9986C0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6FD37513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1E3F4786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7CA7AFA0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4809860F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068CDE2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FAF282D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3DA50E5B" w14:textId="6FF54BE2" w:rsidR="00D374E3" w:rsidRDefault="006A0294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  <w:r>
        <w:rPr>
          <w:rFonts w:ascii="Arial" w:eastAsia="Arial Unicode MS" w:hAnsi="Arial"/>
          <w:sz w:val="22"/>
          <w:lang w:val="pl" w:eastAsia="ar-SA"/>
        </w:rPr>
        <w:t>Ma</w:t>
      </w:r>
      <w:r w:rsidR="004A7983">
        <w:rPr>
          <w:rFonts w:ascii="Arial" w:eastAsia="Arial Unicode MS" w:hAnsi="Arial"/>
          <w:sz w:val="22"/>
          <w:lang w:val="pl" w:eastAsia="ar-SA"/>
        </w:rPr>
        <w:t>j</w:t>
      </w:r>
      <w:r>
        <w:rPr>
          <w:rFonts w:ascii="Arial" w:eastAsia="Arial Unicode MS" w:hAnsi="Arial"/>
          <w:sz w:val="22"/>
          <w:lang w:val="pl" w:eastAsia="ar-SA"/>
        </w:rPr>
        <w:t xml:space="preserve"> 202</w:t>
      </w:r>
      <w:r w:rsidR="004A7983">
        <w:rPr>
          <w:rFonts w:ascii="Arial" w:eastAsia="Arial Unicode MS" w:hAnsi="Arial"/>
          <w:sz w:val="22"/>
          <w:lang w:val="pl" w:eastAsia="ar-SA"/>
        </w:rPr>
        <w:t>5</w:t>
      </w:r>
    </w:p>
    <w:p w14:paraId="002481E5" w14:textId="77777777" w:rsidR="00D374E3" w:rsidRDefault="00BB1672" w:rsidP="00BB1672">
      <w:pPr>
        <w:tabs>
          <w:tab w:val="left" w:pos="2540"/>
        </w:tabs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lastRenderedPageBreak/>
        <w:tab/>
      </w:r>
    </w:p>
    <w:p w14:paraId="1397D096" w14:textId="77777777" w:rsidR="00D374E3" w:rsidRDefault="00BE1DFA">
      <w:pPr>
        <w:tabs>
          <w:tab w:val="left" w:pos="6960"/>
        </w:tabs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t>SPIS TREŚCI:</w:t>
      </w:r>
      <w:r>
        <w:rPr>
          <w:rFonts w:ascii="Arial" w:eastAsia="Arial Unicode MS" w:hAnsi="Arial"/>
          <w:sz w:val="24"/>
          <w:szCs w:val="24"/>
          <w:lang w:val="pl" w:eastAsia="ar-SA"/>
        </w:rPr>
        <w:tab/>
      </w:r>
    </w:p>
    <w:p w14:paraId="4229CC48" w14:textId="77777777" w:rsidR="00D374E3" w:rsidRDefault="00D374E3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</w:p>
    <w:p w14:paraId="588EBA6E" w14:textId="77777777" w:rsidR="00D374E3" w:rsidRDefault="004A7983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BE1DFA">
          <w:rPr>
            <w:rFonts w:ascii="Arial" w:eastAsia="Arial Unicode MS" w:hAnsi="Arial"/>
            <w:lang w:val="pl" w:eastAsia="ar-SA"/>
          </w:rPr>
          <w:t>1.   WSTĘP …….…………………………........................…...............………………………………..…</w:t>
        </w:r>
        <w:r w:rsidR="00EC0FCF">
          <w:rPr>
            <w:rFonts w:ascii="Arial" w:eastAsia="Arial Unicode MS" w:hAnsi="Arial"/>
            <w:lang w:val="pl" w:eastAsia="ar-SA"/>
          </w:rPr>
          <w:t>...</w:t>
        </w:r>
        <w:r w:rsidR="00BE1DFA">
          <w:rPr>
            <w:rFonts w:ascii="Arial" w:eastAsia="Arial Unicode MS" w:hAnsi="Arial"/>
            <w:lang w:val="pl" w:eastAsia="ar-SA"/>
          </w:rPr>
          <w:t xml:space="preserve"> </w:t>
        </w:r>
        <w:r w:rsidR="00BE1DFA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7692FCED" w14:textId="77777777" w:rsidR="00D374E3" w:rsidRDefault="004A7983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BE1DFA">
          <w:rPr>
            <w:rFonts w:ascii="Arial" w:eastAsia="Arial Unicode MS" w:hAnsi="Arial"/>
            <w:lang w:val="pl" w:eastAsia="ar-SA"/>
          </w:rPr>
          <w:t xml:space="preserve">2.   MATERIAŁY .……………………………………………...............…..............……………………...…. </w:t>
        </w:r>
        <w:r w:rsidR="00BE1DFA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7FFE10AC" w14:textId="77777777" w:rsidR="00D374E3" w:rsidRDefault="004A7983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BE1DFA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BE1DFA">
        <w:rPr>
          <w:rFonts w:ascii="Arial" w:eastAsia="Arial Unicode MS" w:hAnsi="Arial"/>
          <w:lang w:val="pl" w:eastAsia="ar-SA"/>
        </w:rPr>
        <w:t>....................................... 5</w:t>
      </w:r>
    </w:p>
    <w:p w14:paraId="50D28AFF" w14:textId="77777777" w:rsidR="00D374E3" w:rsidRDefault="004A7983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BE1DFA">
          <w:rPr>
            <w:rFonts w:ascii="Arial" w:eastAsia="Arial Unicode MS" w:hAnsi="Arial"/>
            <w:lang w:val="pl" w:eastAsia="ar-SA"/>
          </w:rPr>
          <w:t xml:space="preserve">4.   TRANSPORT .………………………………………………………….............…………..................… </w:t>
        </w:r>
        <w:r w:rsidR="00BE1DFA">
          <w:rPr>
            <w:rFonts w:ascii="Arial" w:eastAsia="Arial Unicode MS" w:hAnsi="Arial"/>
            <w:webHidden/>
            <w:lang w:val="pl" w:eastAsia="ar-SA"/>
          </w:rPr>
          <w:t>5</w:t>
        </w:r>
      </w:hyperlink>
    </w:p>
    <w:p w14:paraId="382B43DC" w14:textId="77777777" w:rsidR="00D374E3" w:rsidRDefault="00BE1DFA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.………….............…………………………………………………………….… 6</w:t>
      </w:r>
    </w:p>
    <w:p w14:paraId="6ED725FC" w14:textId="77777777" w:rsidR="00D374E3" w:rsidRDefault="00BE1DFA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.…………..............………………………………………………..….. 6</w:t>
      </w:r>
    </w:p>
    <w:p w14:paraId="4ED9374C" w14:textId="77777777" w:rsidR="00D374E3" w:rsidRDefault="004A7983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BE1DFA">
          <w:rPr>
            <w:rFonts w:ascii="Arial" w:eastAsia="Arial Unicode MS" w:hAnsi="Arial"/>
            <w:lang w:val="pl" w:eastAsia="ar-SA"/>
          </w:rPr>
          <w:t xml:space="preserve">7.   OBMIAR ROBÓT .………………………………..............………………………………………........… </w:t>
        </w:r>
        <w:r w:rsidR="00BE1DFA">
          <w:rPr>
            <w:rFonts w:ascii="Arial" w:eastAsia="Arial Unicode MS" w:hAnsi="Arial"/>
            <w:webHidden/>
            <w:lang w:val="pl" w:eastAsia="ar-SA"/>
          </w:rPr>
          <w:t>7</w:t>
        </w:r>
      </w:hyperlink>
    </w:p>
    <w:p w14:paraId="7E2B3719" w14:textId="77777777" w:rsidR="00D374E3" w:rsidRDefault="004A7983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BE1DFA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.…………………………………………................…………………………......……</w:t>
        </w:r>
        <w:r w:rsidR="00BE1DFA">
          <w:rPr>
            <w:rFonts w:ascii="Arial" w:eastAsia="Arial Unicode MS" w:hAnsi="Arial"/>
            <w:webHidden/>
            <w:lang w:val="pl" w:eastAsia="ar-SA"/>
          </w:rPr>
          <w:t xml:space="preserve"> 7</w:t>
        </w:r>
      </w:hyperlink>
    </w:p>
    <w:p w14:paraId="5AEDA7C7" w14:textId="77777777" w:rsidR="00D374E3" w:rsidRDefault="004A7983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BE1DFA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.…………………………………………………………………................…</w:t>
        </w:r>
        <w:r w:rsidR="00BE1DFA">
          <w:rPr>
            <w:rFonts w:ascii="Arial" w:eastAsia="Arial Unicode MS" w:hAnsi="Arial"/>
            <w:webHidden/>
            <w:lang w:val="pl" w:eastAsia="ar-SA"/>
          </w:rPr>
          <w:t>7</w:t>
        </w:r>
      </w:hyperlink>
    </w:p>
    <w:p w14:paraId="6A4A5422" w14:textId="77777777" w:rsidR="00D374E3" w:rsidRDefault="004A7983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BE1DFA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……………………………………………………………………..................…</w:t>
        </w:r>
        <w:r w:rsidR="00BE1DFA">
          <w:rPr>
            <w:rFonts w:ascii="Arial" w:eastAsia="Arial Unicode MS" w:hAnsi="Arial"/>
            <w:webHidden/>
            <w:lang w:val="pl" w:eastAsia="ar-SA"/>
          </w:rPr>
          <w:t>8</w:t>
        </w:r>
      </w:hyperlink>
    </w:p>
    <w:p w14:paraId="408A8A32" w14:textId="77777777" w:rsidR="00D374E3" w:rsidRDefault="00BE1DFA">
      <w:pPr>
        <w:spacing w:before="120" w:after="120" w:line="276" w:lineRule="auto"/>
        <w:ind w:firstLine="567"/>
        <w:contextualSpacing/>
        <w:jc w:val="center"/>
        <w:rPr>
          <w:rFonts w:ascii="Arial" w:eastAsia="Arial Unicode MS" w:hAnsi="Arial"/>
          <w:sz w:val="22"/>
          <w:lang w:val="pl" w:eastAsia="ar-SA"/>
        </w:rPr>
      </w:pPr>
      <w:r>
        <w:rPr>
          <w:rFonts w:ascii="Verdana" w:hAnsi="Verdana"/>
          <w:sz w:val="18"/>
          <w:szCs w:val="18"/>
        </w:rPr>
        <w:br w:type="page"/>
      </w:r>
    </w:p>
    <w:p w14:paraId="1DE484F2" w14:textId="77777777" w:rsidR="00D374E3" w:rsidRDefault="00D374E3">
      <w:pPr>
        <w:spacing w:after="0"/>
        <w:jc w:val="left"/>
        <w:rPr>
          <w:rFonts w:ascii="Arial" w:hAnsi="Arial" w:cs="Arial"/>
          <w:b/>
          <w:sz w:val="18"/>
          <w:szCs w:val="18"/>
        </w:rPr>
      </w:pPr>
    </w:p>
    <w:p w14:paraId="62CCF727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WSTĘP</w:t>
      </w:r>
    </w:p>
    <w:p w14:paraId="6C3278B2" w14:textId="77777777" w:rsidR="00D374E3" w:rsidRDefault="00BE1DFA">
      <w:pPr>
        <w:numPr>
          <w:ilvl w:val="1"/>
          <w:numId w:val="1"/>
        </w:numPr>
        <w:tabs>
          <w:tab w:val="left" w:pos="567"/>
        </w:tabs>
        <w:spacing w:after="60"/>
        <w:ind w:left="6" w:right="-11"/>
        <w:jc w:val="left"/>
        <w:rPr>
          <w:rFonts w:ascii="Arial" w:hAnsi="Arial" w:cs="Arial"/>
          <w:b/>
          <w:sz w:val="18"/>
          <w:szCs w:val="18"/>
          <w:lang w:eastAsia="pl-PL"/>
        </w:rPr>
      </w:pPr>
      <w:bookmarkStart w:id="0" w:name="_Ref227575577"/>
      <w:r>
        <w:rPr>
          <w:rFonts w:ascii="Arial" w:hAnsi="Arial" w:cs="Arial"/>
          <w:b/>
          <w:sz w:val="18"/>
          <w:szCs w:val="18"/>
          <w:lang w:eastAsia="pl-PL"/>
        </w:rPr>
        <w:t xml:space="preserve">    Przedmiot </w:t>
      </w:r>
      <w:proofErr w:type="spellStart"/>
      <w:r>
        <w:rPr>
          <w:rFonts w:ascii="Arial" w:hAnsi="Arial" w:cs="Arial"/>
          <w:b/>
          <w:sz w:val="18"/>
          <w:szCs w:val="18"/>
          <w:lang w:eastAsia="pl-PL"/>
        </w:rPr>
        <w:t>STWiORB</w:t>
      </w:r>
      <w:bookmarkEnd w:id="0"/>
      <w:proofErr w:type="spellEnd"/>
      <w:r>
        <w:rPr>
          <w:rFonts w:ascii="Arial" w:hAnsi="Arial" w:cs="Arial"/>
          <w:b/>
          <w:sz w:val="18"/>
          <w:szCs w:val="18"/>
          <w:lang w:eastAsia="pl-PL"/>
        </w:rPr>
        <w:t xml:space="preserve"> </w:t>
      </w:r>
    </w:p>
    <w:p w14:paraId="674D2339" w14:textId="77777777" w:rsidR="00D374E3" w:rsidRDefault="00BE1DFA">
      <w:pPr>
        <w:pStyle w:val="jkn1"/>
        <w:numPr>
          <w:ilvl w:val="0"/>
          <w:numId w:val="0"/>
        </w:numPr>
        <w:spacing w:after="0"/>
        <w:ind w:firstLine="567"/>
        <w:rPr>
          <w:rFonts w:ascii="Arial" w:hAnsi="Arial" w:cs="Arial"/>
          <w:b w:val="0"/>
          <w:caps w:val="0"/>
          <w:sz w:val="18"/>
          <w:szCs w:val="18"/>
        </w:rPr>
      </w:pPr>
      <w:r>
        <w:rPr>
          <w:rFonts w:ascii="Arial" w:hAnsi="Arial" w:cs="Arial"/>
          <w:b w:val="0"/>
          <w:caps w:val="0"/>
          <w:sz w:val="18"/>
          <w:szCs w:val="18"/>
        </w:rPr>
        <w:t xml:space="preserve">Przedmiotem niniejszej </w:t>
      </w:r>
      <w:proofErr w:type="spellStart"/>
      <w:r>
        <w:rPr>
          <w:rFonts w:ascii="Arial" w:hAnsi="Arial" w:cs="Arial"/>
          <w:b w:val="0"/>
          <w:caps w:val="0"/>
          <w:sz w:val="18"/>
          <w:szCs w:val="18"/>
        </w:rPr>
        <w:t>STWiORB</w:t>
      </w:r>
      <w:proofErr w:type="spellEnd"/>
      <w:r>
        <w:rPr>
          <w:rFonts w:ascii="Arial" w:hAnsi="Arial" w:cs="Arial"/>
          <w:b w:val="0"/>
          <w:caps w:val="0"/>
          <w:sz w:val="18"/>
          <w:szCs w:val="18"/>
        </w:rPr>
        <w:t xml:space="preserve"> są wymagania dotyczące wykonania i odbioru robót związanych z ustawieniem brzeży chodnikowych betonowych o wymiarach 8x30cm na ławie z betonu.</w:t>
      </w:r>
    </w:p>
    <w:p w14:paraId="154D248A" w14:textId="77777777" w:rsidR="00D374E3" w:rsidRDefault="00D374E3">
      <w:pPr>
        <w:pStyle w:val="jkn2"/>
        <w:numPr>
          <w:ilvl w:val="0"/>
          <w:numId w:val="0"/>
        </w:numPr>
        <w:spacing w:after="0"/>
        <w:rPr>
          <w:rFonts w:ascii="Arial" w:hAnsi="Arial" w:cs="Arial"/>
          <w:sz w:val="18"/>
          <w:szCs w:val="18"/>
        </w:rPr>
      </w:pPr>
    </w:p>
    <w:p w14:paraId="4B7F8C03" w14:textId="77777777" w:rsidR="00D374E3" w:rsidRDefault="00BE1DFA">
      <w:pPr>
        <w:numPr>
          <w:ilvl w:val="1"/>
          <w:numId w:val="1"/>
        </w:numPr>
        <w:spacing w:after="60"/>
        <w:ind w:left="6" w:right="-11"/>
        <w:jc w:val="left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  Zakres stosowania </w:t>
      </w:r>
      <w:proofErr w:type="spellStart"/>
      <w:r>
        <w:rPr>
          <w:rFonts w:ascii="Arial" w:hAnsi="Arial" w:cs="Arial"/>
          <w:b/>
          <w:sz w:val="18"/>
          <w:szCs w:val="18"/>
          <w:lang w:eastAsia="pl-PL"/>
        </w:rPr>
        <w:t>STWiORB</w:t>
      </w:r>
      <w:proofErr w:type="spellEnd"/>
      <w:r>
        <w:rPr>
          <w:rFonts w:ascii="Arial" w:hAnsi="Arial" w:cs="Arial"/>
          <w:b/>
          <w:sz w:val="18"/>
          <w:szCs w:val="18"/>
          <w:lang w:eastAsia="pl-PL"/>
        </w:rPr>
        <w:t xml:space="preserve"> </w:t>
      </w:r>
    </w:p>
    <w:p w14:paraId="772B2CAC" w14:textId="100A9E50" w:rsidR="00D374E3" w:rsidRDefault="00BE1DFA" w:rsidP="00EC0FCF">
      <w:pPr>
        <w:pStyle w:val="jkn2"/>
        <w:numPr>
          <w:ilvl w:val="0"/>
          <w:numId w:val="0"/>
        </w:numPr>
        <w:spacing w:after="0"/>
        <w:ind w:firstLine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 w:cs="Arial"/>
          <w:b w:val="0"/>
          <w:sz w:val="18"/>
          <w:szCs w:val="18"/>
        </w:rPr>
        <w:t>STWiORB</w:t>
      </w:r>
      <w:proofErr w:type="spellEnd"/>
      <w:r>
        <w:rPr>
          <w:rFonts w:ascii="Arial" w:hAnsi="Arial" w:cs="Arial"/>
          <w:b w:val="0"/>
          <w:sz w:val="18"/>
          <w:szCs w:val="18"/>
        </w:rPr>
        <w:t>) stanowi obowiązującą podstawę, jako dokument przetargowy i kontraktowy przy zlecaniu i realizacji robót drogowych dla inwestycji:</w:t>
      </w:r>
      <w:r w:rsidR="00FD279B">
        <w:rPr>
          <w:rFonts w:ascii="Arial" w:hAnsi="Arial" w:cs="Arial"/>
          <w:b w:val="0"/>
          <w:sz w:val="18"/>
          <w:szCs w:val="18"/>
        </w:rPr>
        <w:t xml:space="preserve">  </w:t>
      </w:r>
    </w:p>
    <w:p w14:paraId="02682F32" w14:textId="77777777" w:rsidR="00FD279B" w:rsidRPr="00FD279B" w:rsidRDefault="00FD279B" w:rsidP="00FD279B">
      <w:pPr>
        <w:pStyle w:val="jktekst"/>
      </w:pPr>
    </w:p>
    <w:p w14:paraId="4E5DBDAA" w14:textId="6DB301EA" w:rsidR="00D374E3" w:rsidRDefault="00190A66">
      <w:pPr>
        <w:pStyle w:val="jkn2"/>
        <w:numPr>
          <w:ilvl w:val="0"/>
          <w:numId w:val="0"/>
        </w:numPr>
        <w:spacing w:after="0"/>
        <w:jc w:val="center"/>
        <w:rPr>
          <w:rFonts w:ascii="Arial" w:hAnsi="Arial" w:cs="Arial"/>
          <w:b w:val="0"/>
          <w:sz w:val="18"/>
          <w:szCs w:val="18"/>
        </w:rPr>
      </w:pPr>
      <w:r w:rsidRPr="00190A66">
        <w:rPr>
          <w:rFonts w:ascii="Arial" w:hAnsi="Arial" w:cs="Arial"/>
          <w:b w:val="0"/>
          <w:sz w:val="18"/>
          <w:szCs w:val="18"/>
        </w:rPr>
        <w:t>”</w:t>
      </w:r>
      <w:r w:rsidR="004A7983" w:rsidRPr="004A7983">
        <w:rPr>
          <w:rFonts w:ascii="Arial" w:hAnsi="Arial" w:cs="Arial"/>
          <w:b w:val="0"/>
          <w:sz w:val="18"/>
          <w:szCs w:val="18"/>
        </w:rPr>
        <w:t xml:space="preserve"> Przebudowa drogi powiatowej nr 1 153R od km 0+428 do km 0+560 w miejscowości Czermin</w:t>
      </w:r>
      <w:r w:rsidRPr="00190A66">
        <w:rPr>
          <w:rFonts w:ascii="Arial" w:hAnsi="Arial" w:cs="Arial"/>
          <w:b w:val="0"/>
          <w:sz w:val="18"/>
          <w:szCs w:val="18"/>
        </w:rPr>
        <w:t>”;</w:t>
      </w:r>
    </w:p>
    <w:p w14:paraId="7D421445" w14:textId="77777777" w:rsidR="00D374E3" w:rsidRDefault="00D374E3">
      <w:pPr>
        <w:pStyle w:val="jkn2"/>
        <w:numPr>
          <w:ilvl w:val="0"/>
          <w:numId w:val="0"/>
        </w:numPr>
        <w:spacing w:after="0"/>
        <w:rPr>
          <w:rFonts w:ascii="Arial" w:hAnsi="Arial" w:cs="Arial"/>
          <w:b w:val="0"/>
          <w:sz w:val="18"/>
          <w:szCs w:val="18"/>
        </w:rPr>
      </w:pPr>
    </w:p>
    <w:p w14:paraId="6B10A262" w14:textId="77777777" w:rsidR="00D374E3" w:rsidRDefault="00BE1DFA">
      <w:pPr>
        <w:spacing w:after="60"/>
        <w:ind w:left="6" w:right="-1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</w:t>
      </w:r>
      <w:r>
        <w:rPr>
          <w:rFonts w:ascii="Arial" w:hAnsi="Arial" w:cs="Arial"/>
          <w:b/>
          <w:sz w:val="18"/>
          <w:szCs w:val="18"/>
          <w:lang w:eastAsia="pl-PL"/>
        </w:rPr>
        <w:t>.3.</w:t>
      </w:r>
      <w:r>
        <w:rPr>
          <w:rFonts w:ascii="Arial" w:hAnsi="Arial" w:cs="Arial"/>
          <w:b/>
          <w:sz w:val="18"/>
          <w:szCs w:val="18"/>
        </w:rPr>
        <w:t xml:space="preserve">     Zakres robót objętych </w:t>
      </w:r>
      <w:proofErr w:type="spellStart"/>
      <w:r>
        <w:rPr>
          <w:rFonts w:ascii="Arial" w:hAnsi="Arial" w:cs="Arial"/>
          <w:b/>
          <w:sz w:val="18"/>
          <w:szCs w:val="18"/>
        </w:rPr>
        <w:t>STWiORB</w:t>
      </w:r>
      <w:proofErr w:type="spellEnd"/>
    </w:p>
    <w:p w14:paraId="78328B99" w14:textId="77777777" w:rsidR="00D374E3" w:rsidRDefault="00BE1DFA">
      <w:pPr>
        <w:spacing w:after="0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Ustalenia zawarte w niniejszej specyfikacji dotyczą zasad prowadzenia robót związanych z ustawieniem, kontrolą i odbiorem krawężników betonowych z oporem zgodnie z Dokumentacją Projektową.</w:t>
      </w:r>
    </w:p>
    <w:p w14:paraId="4622727B" w14:textId="77777777" w:rsidR="00D374E3" w:rsidRDefault="00D374E3">
      <w:pPr>
        <w:spacing w:after="0"/>
        <w:ind w:firstLine="567"/>
        <w:rPr>
          <w:rFonts w:ascii="Arial" w:hAnsi="Arial" w:cs="Arial"/>
          <w:sz w:val="18"/>
          <w:szCs w:val="18"/>
        </w:rPr>
      </w:pPr>
    </w:p>
    <w:p w14:paraId="328EA2F0" w14:textId="77777777" w:rsidR="00D374E3" w:rsidRDefault="00BE1DFA">
      <w:pPr>
        <w:pStyle w:val="jkn2"/>
        <w:numPr>
          <w:ilvl w:val="1"/>
          <w:numId w:val="6"/>
        </w:numPr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Określenia podstawowe</w:t>
      </w:r>
    </w:p>
    <w:p w14:paraId="250DAB41" w14:textId="77777777" w:rsidR="00D374E3" w:rsidRDefault="00BE1DFA">
      <w:pPr>
        <w:pStyle w:val="jkn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Obrzeża chodnikowe</w:t>
      </w:r>
      <w:r>
        <w:rPr>
          <w:rFonts w:ascii="Arial" w:hAnsi="Arial" w:cs="Arial"/>
          <w:sz w:val="18"/>
          <w:szCs w:val="18"/>
        </w:rPr>
        <w:t xml:space="preserve"> - prefabrykowane belki betonowe rozgraniczające jednostronnie lub </w:t>
      </w:r>
      <w:r>
        <w:rPr>
          <w:rFonts w:ascii="Arial" w:hAnsi="Arial" w:cs="Arial"/>
          <w:sz w:val="18"/>
          <w:szCs w:val="18"/>
        </w:rPr>
        <w:br/>
        <w:t>dwustronnie ciągi komunikacyjne od terenów nieprzeznaczonych do komunikacji.</w:t>
      </w:r>
    </w:p>
    <w:p w14:paraId="186F9CD4" w14:textId="77777777" w:rsidR="00D374E3" w:rsidRDefault="00BE1DFA">
      <w:pPr>
        <w:pStyle w:val="jkn3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Pozostałe określenia podstawowe są zgodne z obowiązującymi, odpowiednimi polskimi normami i definicjami podanymi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p. 1.4.</w:t>
      </w:r>
    </w:p>
    <w:p w14:paraId="0CE03E0C" w14:textId="77777777" w:rsidR="00D374E3" w:rsidRDefault="00D374E3">
      <w:pPr>
        <w:pStyle w:val="jkn2"/>
        <w:numPr>
          <w:ilvl w:val="0"/>
          <w:numId w:val="0"/>
        </w:numPr>
        <w:spacing w:after="0"/>
        <w:rPr>
          <w:rFonts w:ascii="Arial" w:hAnsi="Arial" w:cs="Arial"/>
          <w:b w:val="0"/>
          <w:sz w:val="18"/>
          <w:szCs w:val="18"/>
        </w:rPr>
      </w:pPr>
    </w:p>
    <w:p w14:paraId="11B8FB59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Ogólne wymagania dotyczące robót</w:t>
      </w:r>
    </w:p>
    <w:p w14:paraId="008F468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1.5.</w:t>
      </w:r>
    </w:p>
    <w:p w14:paraId="1391373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44FFAC6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1F857041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MATERIAŁY</w:t>
      </w:r>
    </w:p>
    <w:p w14:paraId="5D302968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wymagania dotyczące materiałów</w:t>
      </w:r>
    </w:p>
    <w:p w14:paraId="1BB152A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</w:t>
      </w:r>
      <w:r>
        <w:rPr>
          <w:rFonts w:ascii="Arial" w:hAnsi="Arial" w:cs="Arial"/>
          <w:sz w:val="18"/>
          <w:szCs w:val="18"/>
        </w:rPr>
        <w:noBreakHyphen/>
        <w:t>M.00.00.00.00 „Wymagania ogólne” p. 2.</w:t>
      </w:r>
    </w:p>
    <w:p w14:paraId="7CBD6CCB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Stosowane materiały</w:t>
      </w:r>
    </w:p>
    <w:p w14:paraId="0A039F8F" w14:textId="77777777" w:rsidR="00D374E3" w:rsidRDefault="00BE1DFA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Materiałami stosowanymi są:</w:t>
      </w:r>
    </w:p>
    <w:p w14:paraId="480CF582" w14:textId="35BD7893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Obrzeża odpowiadające wymaganiom w p. 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_Ref325711354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3807F5">
        <w:rPr>
          <w:rFonts w:ascii="Arial" w:hAnsi="Arial" w:cs="Arial"/>
          <w:sz w:val="18"/>
          <w:szCs w:val="18"/>
        </w:rPr>
        <w:t xml:space="preserve">2.3.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i 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_Ref325711363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3807F5">
        <w:rPr>
          <w:rFonts w:ascii="Arial" w:hAnsi="Arial" w:cs="Arial"/>
          <w:sz w:val="18"/>
          <w:szCs w:val="18"/>
        </w:rPr>
        <w:t xml:space="preserve">2.4.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34335DC9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ława betonowa – beton klasy C12/15,</w:t>
      </w:r>
    </w:p>
    <w:p w14:paraId="31A1AE8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</w:t>
      </w:r>
    </w:p>
    <w:p w14:paraId="22B147F6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1" w:name="_Ref325711354"/>
      <w:r>
        <w:rPr>
          <w:rFonts w:ascii="Arial" w:hAnsi="Arial" w:cs="Arial"/>
          <w:sz w:val="18"/>
          <w:szCs w:val="18"/>
        </w:rPr>
        <w:t xml:space="preserve">    Betonowe obrzeża chodnikowe</w:t>
      </w:r>
      <w:bookmarkEnd w:id="1"/>
      <w:r>
        <w:rPr>
          <w:rFonts w:ascii="Arial" w:hAnsi="Arial" w:cs="Arial"/>
          <w:sz w:val="18"/>
          <w:szCs w:val="18"/>
        </w:rPr>
        <w:t xml:space="preserve"> </w:t>
      </w:r>
    </w:p>
    <w:p w14:paraId="062276D2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zastosować obrzeże chodnikowe o wymiarach 8 x 30cm zgodnie z dokumentacją. Na odcinkach prostych należy stosować obrzeża długości 100cm, a na </w:t>
      </w:r>
      <w:proofErr w:type="spellStart"/>
      <w:r>
        <w:rPr>
          <w:rFonts w:ascii="Arial" w:hAnsi="Arial" w:cs="Arial"/>
          <w:sz w:val="18"/>
          <w:szCs w:val="18"/>
        </w:rPr>
        <w:t>wyokrągleniach</w:t>
      </w:r>
      <w:proofErr w:type="spellEnd"/>
      <w:r>
        <w:rPr>
          <w:rFonts w:ascii="Arial" w:hAnsi="Arial" w:cs="Arial"/>
          <w:sz w:val="18"/>
          <w:szCs w:val="18"/>
        </w:rPr>
        <w:t xml:space="preserve"> należy stosować obrzeża o mniejszej długości.</w:t>
      </w:r>
    </w:p>
    <w:p w14:paraId="73351095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2" w:name="_Ref325711363"/>
      <w:r>
        <w:rPr>
          <w:rFonts w:ascii="Arial" w:hAnsi="Arial" w:cs="Arial"/>
          <w:sz w:val="18"/>
          <w:szCs w:val="18"/>
        </w:rPr>
        <w:t xml:space="preserve">    Betonowe obrzeża chodnikowe – wymagania techniczne</w:t>
      </w:r>
      <w:bookmarkEnd w:id="2"/>
    </w:p>
    <w:p w14:paraId="55CA0A1B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Wymiary betonowych obrzeży chodnikowych</w:t>
      </w:r>
    </w:p>
    <w:p w14:paraId="42F28FE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Wymiary należy przyjąć zgodnie z dokumentacją projektową. </w:t>
      </w:r>
    </w:p>
    <w:p w14:paraId="6E86EEC0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Dopuszczalne odchyłki wymiarów obrzeży</w:t>
      </w:r>
    </w:p>
    <w:p w14:paraId="49821C2F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Dopuszczalne odchyłki wymiarów obrzeży betonowych podano w tablicy 1.</w:t>
      </w:r>
    </w:p>
    <w:p w14:paraId="1F800839" w14:textId="77777777" w:rsidR="00D374E3" w:rsidRDefault="00BE1DFA">
      <w:pPr>
        <w:pStyle w:val="jktablicanagwek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1. Dopuszczalne odchyłki</w:t>
      </w:r>
    </w:p>
    <w:tbl>
      <w:tblPr>
        <w:tblW w:w="63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1"/>
        <w:gridCol w:w="4141"/>
      </w:tblGrid>
      <w:tr w:rsidR="00D374E3" w14:paraId="6B2E08A6" w14:textId="77777777">
        <w:trPr>
          <w:trHeight w:val="205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DC841AF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wymiaru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68C9B48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Dopuszczalne odchyłki, mm - gatunek 1</w:t>
            </w:r>
          </w:p>
        </w:tc>
      </w:tr>
      <w:tr w:rsidR="00D374E3" w14:paraId="49409D0D" w14:textId="77777777">
        <w:trPr>
          <w:trHeight w:val="109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EACEF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0D249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±8</w:t>
            </w:r>
          </w:p>
        </w:tc>
      </w:tr>
      <w:tr w:rsidR="00D374E3" w14:paraId="6447B727" w14:textId="77777777">
        <w:trPr>
          <w:trHeight w:val="127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5D569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b, h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9073D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±3</w:t>
            </w:r>
          </w:p>
        </w:tc>
      </w:tr>
    </w:tbl>
    <w:p w14:paraId="2E4A471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7295CA64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Dopuszczalne wady i uszkodzenia obrzeży</w:t>
      </w:r>
    </w:p>
    <w:p w14:paraId="77824F6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Powierzchnie obrzeży powinny być bez rys, pęknięć i ubytków betonu, o fakturze z formy lub zatartej. Krawędzie elementów powinny być równe i proste. Dopuszczalne wady oraz uszkodzenia powierzchni i krawędzi elementów nie powinny przekraczać wartości podanych w tablicy 2.</w:t>
      </w:r>
    </w:p>
    <w:p w14:paraId="5D2CB347" w14:textId="77777777" w:rsidR="00D374E3" w:rsidRDefault="00BE1DFA">
      <w:pPr>
        <w:pStyle w:val="jktablicanagwek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2. Dopuszczalne wady i uszkodzenia obrzeży</w:t>
      </w:r>
    </w:p>
    <w:tbl>
      <w:tblPr>
        <w:tblW w:w="9086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402"/>
        <w:gridCol w:w="4394"/>
      </w:tblGrid>
      <w:tr w:rsidR="00D374E3" w14:paraId="3174FD49" w14:textId="77777777">
        <w:trPr>
          <w:trHeight w:val="20"/>
        </w:trPr>
        <w:tc>
          <w:tcPr>
            <w:tcW w:w="4692" w:type="dxa"/>
            <w:gridSpan w:val="2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E67FB1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Rodzaje wad i uszkodzeń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23BD5510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Dopuszczalne wielkości wad i uszkodzeń - gatunek 1</w:t>
            </w:r>
          </w:p>
        </w:tc>
      </w:tr>
      <w:tr w:rsidR="00D374E3" w14:paraId="77EA773A" w14:textId="77777777">
        <w:trPr>
          <w:cantSplit/>
          <w:trHeight w:val="20"/>
        </w:trPr>
        <w:tc>
          <w:tcPr>
            <w:tcW w:w="4692" w:type="dxa"/>
            <w:gridSpan w:val="2"/>
            <w:shd w:val="clear" w:color="auto" w:fill="auto"/>
            <w:vAlign w:val="center"/>
            <w:hideMark/>
          </w:tcPr>
          <w:p w14:paraId="7025B56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Wklęsłość i wypukłość powierzchni i krawędzi w mm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1AC3E99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374E3" w14:paraId="336F01BC" w14:textId="77777777">
        <w:trPr>
          <w:cantSplit/>
          <w:trHeight w:val="243"/>
        </w:trPr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78ECF1D0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Szczerby i uszkodzenia krawędzi i naroży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505C19B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ograniczających powierzchni górne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14:paraId="38E139B1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niedopuszczalne</w:t>
            </w:r>
          </w:p>
        </w:tc>
      </w:tr>
      <w:tr w:rsidR="00D374E3" w14:paraId="314C2885" w14:textId="77777777">
        <w:trPr>
          <w:cantSplit/>
          <w:trHeight w:val="243"/>
        </w:trPr>
        <w:tc>
          <w:tcPr>
            <w:tcW w:w="1290" w:type="dxa"/>
            <w:vMerge/>
            <w:vAlign w:val="center"/>
            <w:hideMark/>
          </w:tcPr>
          <w:p w14:paraId="44A2593F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23469876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6653A0C9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</w:tr>
      <w:tr w:rsidR="00D374E3" w14:paraId="57FDFB5A" w14:textId="77777777">
        <w:trPr>
          <w:cantSplit/>
          <w:trHeight w:val="20"/>
        </w:trPr>
        <w:tc>
          <w:tcPr>
            <w:tcW w:w="12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1BB4690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8EF0C2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ograniczających pozostałe powierzchni</w:t>
            </w:r>
          </w:p>
          <w:p w14:paraId="3EB71247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liczba, max</w:t>
            </w:r>
          </w:p>
          <w:p w14:paraId="1044F26E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długość, mm, max</w:t>
            </w:r>
          </w:p>
          <w:p w14:paraId="4015281F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głębokość, mm, max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6B11604" w14:textId="77777777" w:rsidR="00D374E3" w:rsidRDefault="00D374E3">
            <w:pPr>
              <w:pStyle w:val="jktablica-teksttablicydolewej"/>
              <w:rPr>
                <w:rFonts w:ascii="Arial" w:hAnsi="Arial" w:cs="Arial"/>
              </w:rPr>
            </w:pPr>
          </w:p>
          <w:p w14:paraId="52A64861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5033A287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67EF0775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</w:tbl>
    <w:p w14:paraId="45A0A27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3E853886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Składowanie obrzeży</w:t>
      </w:r>
    </w:p>
    <w:p w14:paraId="17D6343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Betonowe obrzeża chodnikowe mogą być przechowywane na składowiskach otwartych, posegregowane według rodzajów i gatunków. Betonowe elementy należy układać z zastosowaniem podkładek i przekładek drewnianych o wymiarach, co najmniej: grubość 2,5cm, szerokość 5 cm, długość minimum 5 cm większa niż szerokość obrzeża.</w:t>
      </w:r>
    </w:p>
    <w:p w14:paraId="0F9ECD8C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3" w:name="_Ref325711426"/>
      <w:r>
        <w:rPr>
          <w:rFonts w:ascii="Arial" w:hAnsi="Arial" w:cs="Arial"/>
          <w:sz w:val="18"/>
          <w:szCs w:val="18"/>
        </w:rPr>
        <w:t xml:space="preserve"> Beton do produkcji obrzeży</w:t>
      </w:r>
      <w:bookmarkEnd w:id="3"/>
      <w:r>
        <w:rPr>
          <w:rFonts w:ascii="Arial" w:hAnsi="Arial" w:cs="Arial"/>
          <w:sz w:val="18"/>
          <w:szCs w:val="18"/>
        </w:rPr>
        <w:t xml:space="preserve"> i ławy fundamentowej</w:t>
      </w:r>
    </w:p>
    <w:p w14:paraId="5A402EF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Obrzeża betonowe ujęte w ramach 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powinny odpowiadać wymaganiom PN-EN 13369, BN-80/6775-03/01 oraz PN-EN 1340 w zakresie postanowień ogólnych z ograniczeniem badań właściwości fizycznych i mechanicznych do:</w:t>
      </w:r>
    </w:p>
    <w:p w14:paraId="6B5712B8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odporności na zamrażanie / odmrażanie z udziałem soli odladzających jak dla klasy 3 – oznaczenie D (tablica 2.2 PN-EN 1340 – w wersji z 2004r.) lub nasiąkliwości max. 5%;</w:t>
      </w:r>
    </w:p>
    <w:p w14:paraId="06761E40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ścieranie – jak dla klasy 3 – oznaczenie H (tablica 4 PN-EN 1340 – w wersji z 2004r.);</w:t>
      </w:r>
    </w:p>
    <w:p w14:paraId="7C732509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 uwzględnieniem uszczegółowień zawartych w 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6860B56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wykonania obrzeży należy stosować beton klasy, co najmniej C25/30 (B30), spełniający wymagania w tablicy 3.</w:t>
      </w:r>
    </w:p>
    <w:p w14:paraId="611C9A1E" w14:textId="77777777" w:rsidR="00D374E3" w:rsidRDefault="00BE1DFA">
      <w:pPr>
        <w:pStyle w:val="jktablicanagwek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3. Wymagania dla betonu prefabrykatów.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626"/>
        <w:gridCol w:w="2775"/>
        <w:gridCol w:w="2118"/>
      </w:tblGrid>
      <w:tr w:rsidR="00D374E3" w14:paraId="15ABB88D" w14:textId="77777777">
        <w:trPr>
          <w:cantSplit/>
          <w:tblHeader/>
        </w:trPr>
        <w:tc>
          <w:tcPr>
            <w:tcW w:w="544" w:type="dxa"/>
            <w:shd w:val="clear" w:color="auto" w:fill="D9D9D9"/>
          </w:tcPr>
          <w:p w14:paraId="21515F58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shd w:val="clear" w:color="auto" w:fill="D9D9D9"/>
          </w:tcPr>
          <w:p w14:paraId="49C382C4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Właściwość</w:t>
            </w:r>
          </w:p>
        </w:tc>
        <w:tc>
          <w:tcPr>
            <w:tcW w:w="2835" w:type="dxa"/>
            <w:shd w:val="clear" w:color="auto" w:fill="D9D9D9"/>
          </w:tcPr>
          <w:p w14:paraId="6C7C8433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Wymagania</w:t>
            </w:r>
          </w:p>
        </w:tc>
        <w:tc>
          <w:tcPr>
            <w:tcW w:w="2156" w:type="dxa"/>
            <w:shd w:val="clear" w:color="auto" w:fill="D9D9D9"/>
          </w:tcPr>
          <w:p w14:paraId="7FE8810C" w14:textId="77777777" w:rsidR="00D374E3" w:rsidRDefault="00BE1DFA">
            <w:pPr>
              <w:pStyle w:val="jktablica-pierwszywiersz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Badanie wg normatywu</w:t>
            </w:r>
          </w:p>
        </w:tc>
      </w:tr>
      <w:tr w:rsidR="00D374E3" w14:paraId="40BF9FC2" w14:textId="77777777">
        <w:trPr>
          <w:cantSplit/>
        </w:trPr>
        <w:tc>
          <w:tcPr>
            <w:tcW w:w="544" w:type="dxa"/>
            <w:vAlign w:val="center"/>
          </w:tcPr>
          <w:p w14:paraId="77D3B13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685" w:type="dxa"/>
            <w:vAlign w:val="center"/>
          </w:tcPr>
          <w:p w14:paraId="0F4198F1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Wytrzymałość na ściskanie dla klasy:</w:t>
            </w:r>
          </w:p>
        </w:tc>
        <w:tc>
          <w:tcPr>
            <w:tcW w:w="2835" w:type="dxa"/>
            <w:vAlign w:val="center"/>
          </w:tcPr>
          <w:p w14:paraId="62951E01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C25/30 wg PN EN 206-1</w:t>
            </w:r>
          </w:p>
        </w:tc>
        <w:tc>
          <w:tcPr>
            <w:tcW w:w="2156" w:type="dxa"/>
            <w:vAlign w:val="center"/>
          </w:tcPr>
          <w:p w14:paraId="0DACFF02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12390-3</w:t>
            </w:r>
          </w:p>
        </w:tc>
      </w:tr>
      <w:tr w:rsidR="00D374E3" w14:paraId="4F6DB138" w14:textId="77777777">
        <w:trPr>
          <w:cantSplit/>
        </w:trPr>
        <w:tc>
          <w:tcPr>
            <w:tcW w:w="544" w:type="dxa"/>
            <w:vAlign w:val="center"/>
          </w:tcPr>
          <w:p w14:paraId="12609984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vAlign w:val="center"/>
          </w:tcPr>
          <w:p w14:paraId="1EEE0DBC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Przepuszczalność wody przez beton odpowiadająca przynajmniej stopniowi wodoprzepuszczalności:</w:t>
            </w:r>
          </w:p>
        </w:tc>
        <w:tc>
          <w:tcPr>
            <w:tcW w:w="2835" w:type="dxa"/>
            <w:vAlign w:val="center"/>
          </w:tcPr>
          <w:p w14:paraId="2D91A24A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W8 (klasyfikacja wg oznaczeń</w:t>
            </w:r>
          </w:p>
          <w:p w14:paraId="470BC52D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6250:1988)</w:t>
            </w:r>
          </w:p>
        </w:tc>
        <w:tc>
          <w:tcPr>
            <w:tcW w:w="2156" w:type="dxa"/>
            <w:vAlign w:val="center"/>
          </w:tcPr>
          <w:p w14:paraId="29983673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06250:1988</w:t>
            </w:r>
          </w:p>
        </w:tc>
      </w:tr>
      <w:tr w:rsidR="00D374E3" w14:paraId="1C6EF4C7" w14:textId="77777777">
        <w:trPr>
          <w:cantSplit/>
        </w:trPr>
        <w:tc>
          <w:tcPr>
            <w:tcW w:w="544" w:type="dxa"/>
            <w:vAlign w:val="center"/>
          </w:tcPr>
          <w:p w14:paraId="3E348A36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vAlign w:val="center"/>
          </w:tcPr>
          <w:p w14:paraId="00A6FD6E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Nasiąkliwość nie większą niż:</w:t>
            </w:r>
          </w:p>
        </w:tc>
        <w:tc>
          <w:tcPr>
            <w:tcW w:w="2835" w:type="dxa"/>
            <w:vAlign w:val="center"/>
          </w:tcPr>
          <w:p w14:paraId="21552733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5 %</w:t>
            </w:r>
          </w:p>
        </w:tc>
        <w:tc>
          <w:tcPr>
            <w:tcW w:w="2156" w:type="dxa"/>
            <w:vAlign w:val="center"/>
          </w:tcPr>
          <w:p w14:paraId="5ACD98E2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06250:1988</w:t>
            </w:r>
          </w:p>
        </w:tc>
      </w:tr>
      <w:tr w:rsidR="00D374E3" w14:paraId="285B6F3D" w14:textId="77777777">
        <w:trPr>
          <w:cantSplit/>
        </w:trPr>
        <w:tc>
          <w:tcPr>
            <w:tcW w:w="544" w:type="dxa"/>
            <w:vAlign w:val="center"/>
          </w:tcPr>
          <w:p w14:paraId="67B129D7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vAlign w:val="center"/>
          </w:tcPr>
          <w:p w14:paraId="129F1C1D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Odporność na działanie mrozu, nie mniejszą niż dla stopnia mrozoodporności:</w:t>
            </w:r>
          </w:p>
        </w:tc>
        <w:tc>
          <w:tcPr>
            <w:tcW w:w="2835" w:type="dxa"/>
            <w:vAlign w:val="center"/>
          </w:tcPr>
          <w:p w14:paraId="7D063370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F150 (klasyfikacja wg oznaczeń</w:t>
            </w:r>
          </w:p>
          <w:p w14:paraId="71F044A6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 6250:1988)</w:t>
            </w:r>
          </w:p>
        </w:tc>
        <w:tc>
          <w:tcPr>
            <w:tcW w:w="2156" w:type="dxa"/>
            <w:vAlign w:val="center"/>
          </w:tcPr>
          <w:p w14:paraId="298682FA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PN-B 06250:1988</w:t>
            </w:r>
          </w:p>
        </w:tc>
      </w:tr>
      <w:tr w:rsidR="00D374E3" w14:paraId="227B4EB1" w14:textId="77777777">
        <w:trPr>
          <w:cantSplit/>
        </w:trPr>
        <w:tc>
          <w:tcPr>
            <w:tcW w:w="544" w:type="dxa"/>
            <w:vAlign w:val="center"/>
          </w:tcPr>
          <w:p w14:paraId="56C73666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76" w:type="dxa"/>
            <w:gridSpan w:val="3"/>
            <w:vAlign w:val="center"/>
          </w:tcPr>
          <w:p w14:paraId="337ECC95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Klasa ekspozycji</w:t>
            </w:r>
          </w:p>
        </w:tc>
      </w:tr>
      <w:tr w:rsidR="00D374E3" w14:paraId="638C06B4" w14:textId="77777777">
        <w:trPr>
          <w:cantSplit/>
        </w:trPr>
        <w:tc>
          <w:tcPr>
            <w:tcW w:w="544" w:type="dxa"/>
            <w:vAlign w:val="center"/>
          </w:tcPr>
          <w:p w14:paraId="6F86989E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3685" w:type="dxa"/>
            <w:vAlign w:val="center"/>
          </w:tcPr>
          <w:p w14:paraId="1999C7B5" w14:textId="77777777" w:rsidR="00D374E3" w:rsidRDefault="00BE1DFA">
            <w:pPr>
              <w:pStyle w:val="jktablica-teksttablicydolewej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Agresywne oddziaływanie zamrażania / rozmrażania ze środkami odladzającymi</w:t>
            </w:r>
          </w:p>
        </w:tc>
        <w:tc>
          <w:tcPr>
            <w:tcW w:w="2835" w:type="dxa"/>
            <w:vAlign w:val="center"/>
          </w:tcPr>
          <w:p w14:paraId="3B8F2A38" w14:textId="77777777" w:rsidR="00D374E3" w:rsidRDefault="00BE1DFA">
            <w:pPr>
              <w:pStyle w:val="jktablica-teksttablicydorod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XF3 wg PN-EN 206-1</w:t>
            </w:r>
          </w:p>
        </w:tc>
        <w:tc>
          <w:tcPr>
            <w:tcW w:w="2156" w:type="dxa"/>
            <w:vAlign w:val="center"/>
          </w:tcPr>
          <w:p w14:paraId="7E537A69" w14:textId="77777777" w:rsidR="00D374E3" w:rsidRDefault="00BE1D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0DEA0B46" w14:textId="77777777" w:rsidR="00D374E3" w:rsidRDefault="00D374E3">
      <w:pPr>
        <w:pStyle w:val="jktekst"/>
        <w:spacing w:before="60"/>
        <w:rPr>
          <w:rFonts w:ascii="Arial" w:hAnsi="Arial" w:cs="Arial"/>
          <w:sz w:val="18"/>
          <w:szCs w:val="18"/>
        </w:rPr>
      </w:pPr>
    </w:p>
    <w:p w14:paraId="66BF34C6" w14:textId="77777777" w:rsidR="00D374E3" w:rsidRDefault="00BE1DFA">
      <w:pPr>
        <w:pStyle w:val="jktekst"/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wykonania ławy fundamentowej pod obrzeża należy stosować beton klasy, co najmniej C12/15, spełniający wymagania, co do wytrzymałości na ściskanie.</w:t>
      </w:r>
    </w:p>
    <w:p w14:paraId="5058808C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4" w:name="_Ref289922393"/>
      <w:r>
        <w:rPr>
          <w:rFonts w:ascii="Arial" w:hAnsi="Arial" w:cs="Arial"/>
          <w:sz w:val="18"/>
          <w:szCs w:val="18"/>
        </w:rPr>
        <w:t xml:space="preserve"> Kruszywo do betonu</w:t>
      </w:r>
      <w:bookmarkEnd w:id="4"/>
      <w:r>
        <w:rPr>
          <w:rFonts w:ascii="Arial" w:hAnsi="Arial" w:cs="Arial"/>
          <w:sz w:val="18"/>
          <w:szCs w:val="18"/>
        </w:rPr>
        <w:t xml:space="preserve"> </w:t>
      </w:r>
    </w:p>
    <w:p w14:paraId="6E4854EC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 do betonu powinno odpowiadać wymaganiom: PN-EN 12620 z uwzględnieniem klasy ekspozycji betonu w tablicy 3.</w:t>
      </w:r>
    </w:p>
    <w:p w14:paraId="67EEC84F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Ziarna kruszywa do betonu nie powinny być większe niż 1/3 najmniejszego wymiaru przekroju poprzecznego elementu.</w:t>
      </w:r>
    </w:p>
    <w:p w14:paraId="4E87722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Kruszywa powinny charakteryzować się stałością cech fizycznych i jednorodności uziarnienia pozwalającą na wykonanie betonu o stałej jakości. Powinny składać się z elementów niewrażliwych na przemarzanie, nie zawierać składników łamliwych, pylących czy o budowie warstwowej, gipsu ani rozpuszczalnych siarczanów, pirytów, pirytów gliniastych i składników organicznych.</w:t>
      </w:r>
    </w:p>
    <w:p w14:paraId="3D338B93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Producent kruszywa powinien zapewnić odbiorcy dostęp do procesu produkcyjnego oraz wgląd do Zakładowej Kontroli Produkcji.</w:t>
      </w:r>
    </w:p>
    <w:p w14:paraId="7D7E69D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Składowanie kruszywa, nieprzeznaczonego do bezpośredniego wbudowania po dostarczeniu na budowę lub Wytwórni mieszanki Betonowej, powinno odbywać się na podłożu równym, utwardzonym i dobrze odwodnionym, przy zabezpieczeniu kruszywa przed zanieczyszczeniem i zmieszaniem z innymi materiałami rodzajami i frakcjami kruszyw.</w:t>
      </w:r>
    </w:p>
    <w:p w14:paraId="75AEEBA3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292D5B5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5" w:name="_Ref289862320"/>
      <w:r>
        <w:rPr>
          <w:rFonts w:ascii="Arial" w:hAnsi="Arial" w:cs="Arial"/>
          <w:sz w:val="18"/>
          <w:szCs w:val="18"/>
        </w:rPr>
        <w:t xml:space="preserve"> Cement</w:t>
      </w:r>
      <w:bookmarkEnd w:id="5"/>
      <w:r>
        <w:rPr>
          <w:rFonts w:ascii="Arial" w:hAnsi="Arial" w:cs="Arial"/>
          <w:sz w:val="18"/>
          <w:szCs w:val="18"/>
        </w:rPr>
        <w:t xml:space="preserve"> </w:t>
      </w:r>
    </w:p>
    <w:p w14:paraId="661D669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 stosować cement o klasie wytrzymałości 32,5 N spełniający wymagania normy PN-EN 197-1. Dopuszcza się, w razie potrzeby, zastosowanie cementów o wysokiej wczesnej wytrzymałości (32,5 R).</w:t>
      </w:r>
    </w:p>
    <w:p w14:paraId="10F5363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Minimalną ilość cementu oraz maksymalny współczynnik w/c (współczynnik woda / cement) należy dobrać z uwzględnieniem klasy ekspozycji betonu wg tablicy F1 PN-EN 206-1 oraz zakresu i charakterystyki robót betonowych. Producent cementu powinien przedstawić wyniki badań kontrolnych przynajmniej raz na miesiąc.</w:t>
      </w:r>
    </w:p>
    <w:p w14:paraId="2A2D14B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żadnej z klas cementów nie dopuszcza się występowania grudek niedających się rozgnieść w palcach.</w:t>
      </w:r>
    </w:p>
    <w:p w14:paraId="1E80E10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 należy przechowywać w sposób zgodny z postanowieniami BN-88/6731-08. Cement w 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 w:cs="Arial"/>
            <w:sz w:val="18"/>
            <w:szCs w:val="18"/>
          </w:rPr>
          <w:t>50 kg</w:t>
        </w:r>
      </w:smartTag>
      <w:r>
        <w:rPr>
          <w:rFonts w:ascii="Arial" w:hAnsi="Arial" w:cs="Arial"/>
          <w:sz w:val="18"/>
          <w:szCs w:val="18"/>
        </w:rPr>
        <w:t xml:space="preserve">, można przechowywać do: </w:t>
      </w:r>
    </w:p>
    <w:p w14:paraId="514507D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10 dni w miejscach zadaszonych na otwartym terenie o podłożu twardym i suchym, </w:t>
      </w:r>
    </w:p>
    <w:p w14:paraId="604A44C1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terminu trwałości, podanego przez producenta, w pomieszczeniach o szczelnym dachu i ścianach oraz podłogach suchych i czystych. </w:t>
      </w:r>
    </w:p>
    <w:p w14:paraId="1C3C79CE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 dostarczony na paletach magazynuje się razem z paletami, z dopuszczalną wysokością 3 szt. palet. Cement </w:t>
      </w:r>
      <w:proofErr w:type="spellStart"/>
      <w:r>
        <w:rPr>
          <w:rFonts w:ascii="Arial" w:hAnsi="Arial" w:cs="Arial"/>
          <w:sz w:val="18"/>
          <w:szCs w:val="18"/>
        </w:rPr>
        <w:t>niespaletowany</w:t>
      </w:r>
      <w:proofErr w:type="spellEnd"/>
      <w:r>
        <w:rPr>
          <w:rFonts w:ascii="Arial" w:hAnsi="Arial" w:cs="Arial"/>
          <w:sz w:val="18"/>
          <w:szCs w:val="18"/>
        </w:rPr>
        <w:t xml:space="preserve"> układa się w stosy płaskie o liczbie warstw 12 (dla worków trzywarstwowych).</w:t>
      </w:r>
    </w:p>
    <w:p w14:paraId="57199792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6" w:name="_Ref289862254"/>
      <w:r>
        <w:rPr>
          <w:rFonts w:ascii="Arial" w:hAnsi="Arial" w:cs="Arial"/>
          <w:sz w:val="18"/>
          <w:szCs w:val="18"/>
        </w:rPr>
        <w:t xml:space="preserve"> Woda</w:t>
      </w:r>
      <w:bookmarkEnd w:id="6"/>
    </w:p>
    <w:p w14:paraId="0BD89DA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zarobowa do betonu powinna spełniać wszystkie wymagania PN-EN 1008. Powinna pochodzić ze źródeł niebudzących żadnych wątpliwości, lub dobrze zbadanych. Bez badań laboratoryjnych można stosować wodociągową wodę pitną.</w:t>
      </w:r>
    </w:p>
    <w:p w14:paraId="10259CF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powinna być dodawana w możliwie najmniejszych ilościach w stosunku do założonej wytrzymałości i stopnia urabialności mieszanki betonowej, biorąc pod uwagę również ilości wody zawarte w kruszywie, w sposób pozwalający na zachowanie stosunku w/c.</w:t>
      </w:r>
    </w:p>
    <w:p w14:paraId="0E035C2B" w14:textId="77777777" w:rsidR="00D374E3" w:rsidRDefault="00BE1DFA">
      <w:pPr>
        <w:pStyle w:val="jkn3"/>
        <w:rPr>
          <w:rFonts w:ascii="Arial" w:hAnsi="Arial" w:cs="Arial"/>
          <w:sz w:val="18"/>
          <w:szCs w:val="18"/>
        </w:rPr>
      </w:pPr>
      <w:bookmarkStart w:id="7" w:name="_Ref325711436"/>
      <w:r>
        <w:rPr>
          <w:rFonts w:ascii="Arial" w:hAnsi="Arial" w:cs="Arial"/>
          <w:sz w:val="18"/>
          <w:szCs w:val="18"/>
        </w:rPr>
        <w:t xml:space="preserve"> Domieszki od betonu</w:t>
      </w:r>
      <w:bookmarkEnd w:id="7"/>
      <w:r>
        <w:rPr>
          <w:rFonts w:ascii="Arial" w:hAnsi="Arial" w:cs="Arial"/>
          <w:sz w:val="18"/>
          <w:szCs w:val="18"/>
        </w:rPr>
        <w:t xml:space="preserve">  </w:t>
      </w:r>
    </w:p>
    <w:p w14:paraId="31F38615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Domieszki chemiczne do betonu powinny być stosowane, jeśli przewidują to dokumentacja projektowa, </w:t>
      </w:r>
      <w:proofErr w:type="spellStart"/>
      <w:r>
        <w:rPr>
          <w:rFonts w:ascii="Arial" w:hAnsi="Arial" w:cs="Arial"/>
          <w:sz w:val="18"/>
          <w:szCs w:val="18"/>
          <w:lang w:eastAsia="pl-PL"/>
        </w:rPr>
        <w:t>STWiORB</w:t>
      </w:r>
      <w:proofErr w:type="spellEnd"/>
      <w:r>
        <w:rPr>
          <w:rFonts w:ascii="Arial" w:hAnsi="Arial" w:cs="Arial"/>
          <w:sz w:val="18"/>
          <w:szCs w:val="18"/>
          <w:lang w:eastAsia="pl-PL"/>
        </w:rPr>
        <w:t xml:space="preserve"> lub wskazania Inżyniera, przy czym w przypadku braku danych dotyczących rodzaju domieszek, ich dobór powinien być dokonany zgodnie z zaleceniami </w:t>
      </w:r>
      <w:r>
        <w:rPr>
          <w:rFonts w:ascii="Arial" w:hAnsi="Arial" w:cs="Arial"/>
          <w:sz w:val="18"/>
          <w:szCs w:val="18"/>
        </w:rPr>
        <w:t xml:space="preserve">PN-EN 206-1. </w:t>
      </w:r>
      <w:r>
        <w:rPr>
          <w:rFonts w:ascii="Arial" w:hAnsi="Arial" w:cs="Arial"/>
          <w:sz w:val="18"/>
          <w:szCs w:val="18"/>
          <w:lang w:eastAsia="pl-PL"/>
        </w:rPr>
        <w:t xml:space="preserve">Domieszki powinny odpowiadać </w:t>
      </w:r>
      <w:r>
        <w:rPr>
          <w:rFonts w:ascii="Arial" w:hAnsi="Arial" w:cs="Arial"/>
          <w:sz w:val="18"/>
          <w:szCs w:val="18"/>
        </w:rPr>
        <w:t xml:space="preserve">PN-EN </w:t>
      </w:r>
      <w:r>
        <w:rPr>
          <w:rFonts w:ascii="Arial" w:hAnsi="Arial" w:cs="Arial"/>
          <w:sz w:val="18"/>
          <w:szCs w:val="18"/>
        </w:rPr>
        <w:br/>
        <w:t>934-2.</w:t>
      </w:r>
    </w:p>
    <w:p w14:paraId="666BB0C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8" w:name="_Ref325711498"/>
      <w:r>
        <w:rPr>
          <w:rFonts w:ascii="Arial" w:hAnsi="Arial" w:cs="Arial"/>
          <w:sz w:val="18"/>
          <w:szCs w:val="18"/>
        </w:rPr>
        <w:t xml:space="preserve">    Materiały na ławy</w:t>
      </w:r>
    </w:p>
    <w:p w14:paraId="4C692093" w14:textId="77777777" w:rsidR="00D374E3" w:rsidRDefault="00BE1DFA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wykonania ław pod obrzeża betonowe należy stosować beton klasy C12/15 wg PN-EN 206-1 spełniający tylko wymagania, co do zakładanej klasą wytrzymałości na ściskanie. </w:t>
      </w:r>
    </w:p>
    <w:p w14:paraId="78138B47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Materiały </w:t>
      </w:r>
      <w:bookmarkEnd w:id="8"/>
      <w:r>
        <w:rPr>
          <w:rFonts w:ascii="Arial" w:hAnsi="Arial" w:cs="Arial"/>
          <w:sz w:val="18"/>
          <w:szCs w:val="18"/>
        </w:rPr>
        <w:t>do zaprawy cementowej</w:t>
      </w:r>
    </w:p>
    <w:p w14:paraId="20D327DE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powinien odpowiadać wymaganiom PN-EN 13242.</w:t>
      </w:r>
    </w:p>
    <w:p w14:paraId="5FAD39E7" w14:textId="3F551344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 użyć cementu zgodnie z p. 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_Ref289862320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3807F5">
        <w:rPr>
          <w:rFonts w:ascii="Arial" w:hAnsi="Arial" w:cs="Arial"/>
          <w:sz w:val="18"/>
          <w:szCs w:val="18"/>
        </w:rPr>
        <w:t xml:space="preserve">2.4.7.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spełniający wymagania wg PN-EN 197-1. </w:t>
      </w:r>
    </w:p>
    <w:p w14:paraId="13932CFC" w14:textId="12200692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powinna odpowiadać ujętym w p. </w: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REF _Ref289862254 \r \h  \* MERGEFORMAT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3807F5">
        <w:rPr>
          <w:rFonts w:ascii="Arial" w:hAnsi="Arial" w:cs="Arial"/>
          <w:sz w:val="18"/>
          <w:szCs w:val="18"/>
        </w:rPr>
        <w:t xml:space="preserve">2.4.8. 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</w:p>
    <w:p w14:paraId="10317FC3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5FF28DD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38CF9C00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SPRZĘT</w:t>
      </w:r>
    </w:p>
    <w:p w14:paraId="0FA06D31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wymagania dotyczące sprzętu</w:t>
      </w:r>
    </w:p>
    <w:p w14:paraId="1889A55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3.</w:t>
      </w:r>
    </w:p>
    <w:p w14:paraId="739847A7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Sprzęt do ustawienia obrzeży </w:t>
      </w:r>
    </w:p>
    <w:p w14:paraId="3401BE1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wykonuje się ręcznie przy zastosowaniu drobnego sprzętu pomocniczego:</w:t>
      </w:r>
    </w:p>
    <w:p w14:paraId="41E64BE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łopaty,</w:t>
      </w:r>
    </w:p>
    <w:p w14:paraId="3AFAA4B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łaty,</w:t>
      </w:r>
    </w:p>
    <w:p w14:paraId="3C8D4151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taczki,</w:t>
      </w:r>
    </w:p>
    <w:p w14:paraId="120F958C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kielnie,</w:t>
      </w:r>
    </w:p>
    <w:p w14:paraId="7AE8DC8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młotek gumowy do ustawiania obrzeży</w:t>
      </w:r>
    </w:p>
    <w:p w14:paraId="5260D12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betoniarek do przygotowania zaprawy cementowej,</w:t>
      </w:r>
    </w:p>
    <w:p w14:paraId="6744A24D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sznurek elastyczny, szpilki metalowe,</w:t>
      </w:r>
    </w:p>
    <w:p w14:paraId="4F135BB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ubijaków ręcznych lub mechanicznych.</w:t>
      </w:r>
    </w:p>
    <w:p w14:paraId="34B212A2" w14:textId="77777777" w:rsidR="00D374E3" w:rsidRDefault="00D374E3">
      <w:pPr>
        <w:spacing w:after="0"/>
        <w:jc w:val="left"/>
        <w:rPr>
          <w:rFonts w:ascii="Arial" w:hAnsi="Arial" w:cs="Arial"/>
          <w:sz w:val="18"/>
          <w:szCs w:val="18"/>
        </w:rPr>
      </w:pPr>
    </w:p>
    <w:p w14:paraId="2E81AF90" w14:textId="77777777" w:rsidR="00D374E3" w:rsidRDefault="00D374E3">
      <w:pPr>
        <w:spacing w:after="0"/>
        <w:jc w:val="left"/>
        <w:rPr>
          <w:rFonts w:ascii="Arial" w:hAnsi="Arial" w:cs="Arial"/>
          <w:sz w:val="18"/>
          <w:szCs w:val="18"/>
        </w:rPr>
      </w:pPr>
    </w:p>
    <w:p w14:paraId="4038F191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TRANSPORT</w:t>
      </w:r>
    </w:p>
    <w:p w14:paraId="639821BD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wymagania dotyczące transportu</w:t>
      </w:r>
    </w:p>
    <w:p w14:paraId="5E53363C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p. 4.</w:t>
      </w:r>
    </w:p>
    <w:p w14:paraId="39548F30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Transport obrzeży betonowych</w:t>
      </w:r>
    </w:p>
    <w:p w14:paraId="7C05F3C9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betonowe mogą być przewożone dowolnymi środkami transportu po osiągnięciu przez beton wytrzymałości minimum 0,7 wytrzymałości projektowanej.</w:t>
      </w:r>
    </w:p>
    <w:p w14:paraId="0B664D93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Obrzeża powinny być zabezpieczone przed przemieszczeniem się i uszkodzeniami w czasie transportu. Należy je układać na podkładach drewnianych, rzędami, długością w kierunku jazdy środka transportowego.</w:t>
      </w:r>
    </w:p>
    <w:p w14:paraId="6EBAB51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Transport mieszanki betonowej</w:t>
      </w:r>
    </w:p>
    <w:p w14:paraId="0BC18E58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mieszanki betonowej należy tak zorganizować, aby nie powodować jej segregacji i zmian w składzie. Czas transportu powinien zapewnić zachowanie dopuszczalnej konsystencji mieszanki przez cały okres jej wbudowywania.</w:t>
      </w:r>
    </w:p>
    <w:p w14:paraId="1B7E83F0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Transport pozostałych materiałów</w:t>
      </w:r>
    </w:p>
    <w:p w14:paraId="5F9849FB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i inne kruszywa można przewozić dowolnymi środkami transportu w warunkach zabezpieczających je przed zanieczyszczeniem, zmieszaniem z innymi materiałami, nadmiernym wysuszeniem i zawilgoceniem. Podczas transportu kruszywa powinny być zabezpieczone przed wysypaniem</w:t>
      </w:r>
    </w:p>
    <w:p w14:paraId="705AFA12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 w workach może być przewożony samochodami krytymi, wagonami towarowymi i innymi środkami transportu, w sposób niepowodujący uszkodzeń opakowania. Worki przewożone na paletach układa się po 5 warstw worków, po 4 szt. w warstwie. Worki </w:t>
      </w:r>
      <w:proofErr w:type="spellStart"/>
      <w:r>
        <w:rPr>
          <w:rFonts w:ascii="Arial" w:hAnsi="Arial" w:cs="Arial"/>
          <w:sz w:val="18"/>
          <w:szCs w:val="18"/>
        </w:rPr>
        <w:t>niespaletowane</w:t>
      </w:r>
      <w:proofErr w:type="spellEnd"/>
      <w:r>
        <w:rPr>
          <w:rFonts w:ascii="Arial" w:hAnsi="Arial" w:cs="Arial"/>
          <w:sz w:val="18"/>
          <w:szCs w:val="18"/>
        </w:rPr>
        <w:t xml:space="preserve"> układa się na płask, przylegające do siebie, w równej wysokości do 10 warstw. Ładowanie i wyładowywanie zaleca się wykonywać za pomocą zmechanizowanych urządzeń do poziomego i pionowego przemieszczania ładunków.</w:t>
      </w:r>
    </w:p>
    <w:p w14:paraId="6D38873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można przewozić dowolnym środkiem transportu, w warunkach zabezpieczających je przed zanieczyszczeniem i zmieszaniem z innymi materiałami. Podczas transportu piasku powinny być zabezpieczone przed wysypaniem.</w:t>
      </w:r>
    </w:p>
    <w:p w14:paraId="2CA81A6E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480AB285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D6F79DF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WYKONANIE ROBÓT</w:t>
      </w:r>
    </w:p>
    <w:p w14:paraId="18A34CE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wykonania robót</w:t>
      </w:r>
    </w:p>
    <w:p w14:paraId="4BC95105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p. 5.</w:t>
      </w:r>
    </w:p>
    <w:p w14:paraId="0535FB45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bookmarkStart w:id="9" w:name="_Ref289938972"/>
      <w:r>
        <w:rPr>
          <w:rFonts w:ascii="Arial" w:hAnsi="Arial" w:cs="Arial"/>
          <w:sz w:val="18"/>
          <w:szCs w:val="18"/>
        </w:rPr>
        <w:t xml:space="preserve">    Wykonanie koryta</w:t>
      </w:r>
      <w:bookmarkEnd w:id="9"/>
    </w:p>
    <w:p w14:paraId="02F5405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Wymiary wykopu powinny odpowiadać wymiarom danej ławy w planie z uwzględnieniem </w:t>
      </w:r>
      <w:r>
        <w:rPr>
          <w:rFonts w:ascii="Arial" w:hAnsi="Arial" w:cs="Arial"/>
          <w:sz w:val="18"/>
          <w:szCs w:val="18"/>
        </w:rPr>
        <w:br/>
        <w:t>szerokości dna wykopu.</w:t>
      </w:r>
    </w:p>
    <w:p w14:paraId="15B2EF6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Koryto należy zagęszczać do momentu uzyskania:</w:t>
      </w:r>
    </w:p>
    <w:p w14:paraId="0C96FE11" w14:textId="77777777" w:rsidR="00D374E3" w:rsidRDefault="00BE1DFA">
      <w:pPr>
        <w:pStyle w:val="jkpunktor"/>
        <w:ind w:left="426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wskaźnika zagęszczenia </w:t>
      </w:r>
      <w:proofErr w:type="spellStart"/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  <w:vertAlign w:val="subscript"/>
        </w:rPr>
        <w:t>s</w:t>
      </w:r>
      <w:proofErr w:type="spellEnd"/>
      <w:r>
        <w:rPr>
          <w:rFonts w:ascii="Arial" w:hAnsi="Arial" w:cs="Arial"/>
          <w:sz w:val="18"/>
          <w:szCs w:val="18"/>
        </w:rPr>
        <w:t xml:space="preserve"> min. 0,97, według BN-77/8931-12,</w:t>
      </w:r>
    </w:p>
    <w:p w14:paraId="179D8CC6" w14:textId="77777777" w:rsidR="00D374E3" w:rsidRDefault="00BE1DFA">
      <w:pPr>
        <w:pStyle w:val="jkpunktor"/>
        <w:ind w:left="426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wskaźnika odkształcenia I</w:t>
      </w:r>
      <w:r>
        <w:rPr>
          <w:rFonts w:ascii="Arial" w:hAnsi="Arial" w:cs="Arial"/>
          <w:sz w:val="18"/>
          <w:szCs w:val="18"/>
          <w:vertAlign w:val="subscript"/>
        </w:rPr>
        <w:t>O</w:t>
      </w:r>
      <w:r>
        <w:rPr>
          <w:rFonts w:ascii="Arial" w:hAnsi="Arial" w:cs="Arial"/>
          <w:sz w:val="18"/>
          <w:szCs w:val="18"/>
        </w:rPr>
        <w:t xml:space="preserve"> i wtórnego modułu odkształcenia E</w:t>
      </w:r>
      <w:r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 xml:space="preserve">, zgodnie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  <w:t>D-04.01.01. wg załącznika B PN-S-02205:1998 (określonego na podstawie przyrostu odkształcenia odpowiadającego zakresowi obciążeń jednostkowych jak dla ulepszonego podłoża nawierzchni),</w:t>
      </w:r>
    </w:p>
    <w:p w14:paraId="122E3D0F" w14:textId="77777777" w:rsidR="00D374E3" w:rsidRDefault="00BE1DFA">
      <w:pPr>
        <w:pStyle w:val="jkpunktor"/>
        <w:ind w:left="426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parametrów, zgodnie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D-04.01.01.</w:t>
      </w:r>
    </w:p>
    <w:p w14:paraId="12E9139C" w14:textId="77777777" w:rsidR="00D374E3" w:rsidRDefault="00BE1DFA">
      <w:pPr>
        <w:pStyle w:val="jkn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Ustawienie betonowych obrzeży chodnikowych </w:t>
      </w:r>
    </w:p>
    <w:p w14:paraId="12A21321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Betonowe obrzeża chodnikowe należy ustawiać na wykonanej ławie w miejscu i ze światłem (odległością górnej powierzchni obrzeża od ciągu komunikacyjnego) zgodnym z ustaleniami dokumentacji projektowej.</w:t>
      </w:r>
    </w:p>
    <w:p w14:paraId="6EC48917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Zewnętrzna ściana obrzeża powinna być obsypana piaskiem, żwirem lub miejscowym gruntem przepuszczalnym, starannie ubitym.</w:t>
      </w:r>
    </w:p>
    <w:p w14:paraId="04CC28B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Spoiny nie powinny przekraczać szerokości 1cm. Należy wypełnić je zaprawą cementowo-piaskową w stosunku 1:2. Spoiny przed zalaniem należy oczyścić i zmyć wodą. Spoiny muszą być wypełnione całkowicie na pełną głębokość.</w:t>
      </w:r>
    </w:p>
    <w:p w14:paraId="2743144E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36EB8AB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9AF6B23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</w:t>
      </w:r>
    </w:p>
    <w:p w14:paraId="39ADF096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kontroli jakości robót</w:t>
      </w:r>
    </w:p>
    <w:p w14:paraId="60F38049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„Wymagania ogólne” </w:t>
      </w:r>
      <w:r>
        <w:rPr>
          <w:rFonts w:ascii="Arial" w:hAnsi="Arial" w:cs="Arial"/>
          <w:sz w:val="18"/>
          <w:szCs w:val="18"/>
        </w:rPr>
        <w:br/>
        <w:t xml:space="preserve"> p. 6.</w:t>
      </w:r>
    </w:p>
    <w:p w14:paraId="788D4988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Badania przed przystąpieniem do robót</w:t>
      </w:r>
    </w:p>
    <w:p w14:paraId="5F4ADE8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 przystąpieniem do robót Wykonawca powinien:</w:t>
      </w:r>
    </w:p>
    <w:p w14:paraId="56474E6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0896FD0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ew. wykonać własne badania właściwości materiałów przeznaczonych do wykonania robót, określone w p. 2,</w:t>
      </w:r>
    </w:p>
    <w:p w14:paraId="237630A4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sprawdzić cechy zewnętrzne obrzeży,</w:t>
      </w:r>
    </w:p>
    <w:p w14:paraId="0834CC6A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Wszystkie dokumenty, receptury oraz wyniki badań Wykonawca przedstawia Inżynierowi do akceptacji.</w:t>
      </w:r>
    </w:p>
    <w:p w14:paraId="6C92A0E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Sprawdzenie wyglądu zewnętrznego należy przeprowadzić na podstawie oględzin elementu przez pomiar i policzenie uszkodzeń występujących na powierzchniach i krawędziach elementu, zgodnie z wymaganiami tablicy 2. Pomiary długości i głębokości uszkodzeń należy wykonać za pomocą przymiaru stalowego lub suwmiarki z dokładnością do 1 mm, zgodnie z ustaleniami PN-EN 991.</w:t>
      </w:r>
    </w:p>
    <w:p w14:paraId="50337FB4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 mm.</w:t>
      </w:r>
    </w:p>
    <w:p w14:paraId="62B708CF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Badania pozostałych materiałów powinny obejmować wszystkie właściwości określone w normach podanych dla odpowiednich materiałów wymienionych w p. 2.</w:t>
      </w:r>
    </w:p>
    <w:p w14:paraId="22D9E709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Badania w czasie robót</w:t>
      </w:r>
    </w:p>
    <w:p w14:paraId="1C81051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czasie Robót należy sprawdzać wykonanie: </w:t>
      </w:r>
    </w:p>
    <w:p w14:paraId="1CACD50B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Ława fundamentowa zgodnie z zapisami w dokumentacji projektowej,</w:t>
      </w:r>
    </w:p>
    <w:p w14:paraId="2D75B561" w14:textId="77777777" w:rsidR="00D374E3" w:rsidRDefault="00BE1DFA">
      <w:pPr>
        <w:pStyle w:val="jkpunktor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ustawienia betonowego obrzeża chodnikowego - zgodnie z wymaganiami p. 5.3 - przy dopuszczalnych odchyleniach:</w:t>
      </w:r>
    </w:p>
    <w:p w14:paraId="17BC0E6D" w14:textId="77777777" w:rsidR="00D374E3" w:rsidRDefault="00BE1DFA">
      <w:pPr>
        <w:pStyle w:val="jkpodpunktor"/>
        <w:numPr>
          <w:ilvl w:val="0"/>
          <w:numId w:val="7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linii obrzeża w planie, które może wynosić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 na każde 100 m długości obrzeża,</w:t>
      </w:r>
    </w:p>
    <w:p w14:paraId="24822A51" w14:textId="77777777" w:rsidR="00D374E3" w:rsidRDefault="00BE1DFA">
      <w:pPr>
        <w:pStyle w:val="jkpodpunktor"/>
        <w:numPr>
          <w:ilvl w:val="0"/>
          <w:numId w:val="7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Niwelety górnej płaszczyzny obrzeża, które może wynosić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>1 cm na każde 100 m długości obrzeża,</w:t>
      </w:r>
    </w:p>
    <w:p w14:paraId="309E1A2D" w14:textId="77777777" w:rsidR="00D374E3" w:rsidRDefault="00BE1DFA">
      <w:pPr>
        <w:pStyle w:val="jkpodpunktor"/>
        <w:numPr>
          <w:ilvl w:val="0"/>
          <w:numId w:val="7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wypełnienia spoin sprawdzane, co 10 metrów, które powinno wykazywać całkowite wypełnienie badanej spoiny na pełną głębokość.</w:t>
      </w:r>
    </w:p>
    <w:p w14:paraId="3C5F0564" w14:textId="77777777" w:rsidR="00D374E3" w:rsidRDefault="00D374E3">
      <w:pPr>
        <w:pStyle w:val="jkpodpunktor"/>
        <w:numPr>
          <w:ilvl w:val="0"/>
          <w:numId w:val="0"/>
        </w:numPr>
        <w:ind w:left="709" w:hanging="283"/>
        <w:rPr>
          <w:rFonts w:ascii="Arial" w:hAnsi="Arial" w:cs="Arial"/>
          <w:sz w:val="18"/>
          <w:szCs w:val="18"/>
        </w:rPr>
      </w:pPr>
    </w:p>
    <w:p w14:paraId="245EAD63" w14:textId="77777777" w:rsidR="00D374E3" w:rsidRDefault="00D374E3">
      <w:pPr>
        <w:pStyle w:val="jkpodpunktor"/>
        <w:numPr>
          <w:ilvl w:val="0"/>
          <w:numId w:val="0"/>
        </w:numPr>
        <w:ind w:left="709" w:hanging="283"/>
        <w:rPr>
          <w:rFonts w:ascii="Arial" w:hAnsi="Arial" w:cs="Arial"/>
          <w:sz w:val="18"/>
          <w:szCs w:val="18"/>
        </w:rPr>
      </w:pPr>
    </w:p>
    <w:p w14:paraId="5F2E838F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OBMIAR ROBÓT</w:t>
      </w:r>
    </w:p>
    <w:p w14:paraId="1679E190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obmiaru robót</w:t>
      </w:r>
    </w:p>
    <w:p w14:paraId="5CCF1845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7.</w:t>
      </w:r>
    </w:p>
    <w:p w14:paraId="0FE2E96F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Jednostka obmiarowa</w:t>
      </w:r>
    </w:p>
    <w:p w14:paraId="0F21FD0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jest m (metr) ustawionego betonowego obrzeża chodnikowego na ławie fundamentowej wraz z wykonaniem wszystkich robót towarzyszących opisanych w niniejszej STWIORB.</w:t>
      </w:r>
    </w:p>
    <w:p w14:paraId="25F59844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9DF398D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ODBIÓR ROBÓT</w:t>
      </w:r>
    </w:p>
    <w:p w14:paraId="63AFAFAF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zasady odbioru robót</w:t>
      </w:r>
    </w:p>
    <w:p w14:paraId="65F3C821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D-M-00.00.00.00 „Wymagania ogólne” p. 8.</w:t>
      </w:r>
    </w:p>
    <w:p w14:paraId="545187FB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i wymaganiami Inżyniera, jeżeli wszystkie pomiary i badania z zachowaniem tolerancji wg p. 6 dały wyniki pozytywne.</w:t>
      </w:r>
    </w:p>
    <w:p w14:paraId="56DA9AE6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wykonane niezgodnie z Dokumentacją Projektową i STWIORB podlegają rozbiórce i ponownemu wykonaniu na koszt i staraniem Wykonawcy. </w:t>
      </w:r>
    </w:p>
    <w:p w14:paraId="1B7546EB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wyjątkowych przypadkach dopuszcza się odbiór robót z uwzględnieniem ewentualnych potrąceń, wynikających z niezachowania </w:t>
      </w:r>
      <w:r>
        <w:rPr>
          <w:rFonts w:ascii="Arial" w:hAnsi="Arial" w:cs="Arial"/>
          <w:sz w:val="18"/>
          <w:szCs w:val="18"/>
          <w:u w:val="single"/>
        </w:rPr>
        <w:t>wszystkich</w:t>
      </w:r>
      <w:r>
        <w:rPr>
          <w:rFonts w:ascii="Arial" w:hAnsi="Arial" w:cs="Arial"/>
          <w:sz w:val="18"/>
          <w:szCs w:val="18"/>
        </w:rPr>
        <w:t xml:space="preserve"> zapisów 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– za pisemną zgodą Inżyniera. Inżynier w takim przypadku ma obowiązek uściślić w uzgodnieniu z Zamawiającym zakres oraz kwotę potrąceń.</w:t>
      </w:r>
    </w:p>
    <w:p w14:paraId="7D2E6548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Odbiór robót zanikających i ulegających zakryciu</w:t>
      </w:r>
    </w:p>
    <w:p w14:paraId="77F07908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Odbiorowi robót zanikających i ulegających zakryciu podlegają:</w:t>
      </w:r>
    </w:p>
    <w:p w14:paraId="5F602E1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wykonane koryto,</w:t>
      </w:r>
    </w:p>
    <w:p w14:paraId="07D58194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wykonana ława fundamentowa.</w:t>
      </w:r>
    </w:p>
    <w:p w14:paraId="24D8ADFC" w14:textId="77777777" w:rsidR="00D374E3" w:rsidRDefault="00D374E3">
      <w:pPr>
        <w:pStyle w:val="jkpunktor"/>
        <w:numPr>
          <w:ilvl w:val="0"/>
          <w:numId w:val="0"/>
        </w:numPr>
        <w:ind w:left="284" w:hanging="284"/>
        <w:rPr>
          <w:rFonts w:ascii="Arial" w:hAnsi="Arial" w:cs="Arial"/>
          <w:sz w:val="18"/>
          <w:szCs w:val="18"/>
        </w:rPr>
      </w:pPr>
    </w:p>
    <w:p w14:paraId="27975E43" w14:textId="77777777" w:rsidR="00D374E3" w:rsidRDefault="00D374E3">
      <w:pPr>
        <w:pStyle w:val="jkpunktor"/>
        <w:numPr>
          <w:ilvl w:val="0"/>
          <w:numId w:val="0"/>
        </w:numPr>
        <w:ind w:left="284" w:hanging="284"/>
        <w:rPr>
          <w:rFonts w:ascii="Arial" w:hAnsi="Arial" w:cs="Arial"/>
          <w:sz w:val="18"/>
          <w:szCs w:val="18"/>
        </w:rPr>
      </w:pPr>
    </w:p>
    <w:p w14:paraId="7507EF47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PODSTAWA PŁATNOŚCI</w:t>
      </w:r>
    </w:p>
    <w:p w14:paraId="4C7366CF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Ogólne ustalenia dotyczące podstawy płatności</w:t>
      </w:r>
    </w:p>
    <w:p w14:paraId="023C0252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D-M.00.00.00.00  „Wymagania ogólne” p. 9.</w:t>
      </w:r>
    </w:p>
    <w:p w14:paraId="5331C593" w14:textId="77777777" w:rsidR="00D374E3" w:rsidRDefault="00BE1DFA">
      <w:pPr>
        <w:pStyle w:val="jkn2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Cena jednostki obmiarowej</w:t>
      </w:r>
    </w:p>
    <w:p w14:paraId="377584AD" w14:textId="77777777" w:rsidR="00D374E3" w:rsidRDefault="00BE1DFA">
      <w:pPr>
        <w:pStyle w:val="jktek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Ceną wykonania 1m (metra) betonowego obrzeża chodnikowego na ławie betonowej obejmuje: </w:t>
      </w:r>
    </w:p>
    <w:p w14:paraId="326FBD6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 i roboty przygotowawcze,</w:t>
      </w:r>
    </w:p>
    <w:p w14:paraId="03C13EF5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2798F521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 zabezpieczenie oznakowania miejsca robót na czas wykonywania tych robót,</w:t>
      </w:r>
    </w:p>
    <w:p w14:paraId="3200A857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 przedstawienie wszystkich niezbędnych badań, pomiarów i sprawdzeń oraz atestów,</w:t>
      </w:r>
    </w:p>
    <w:p w14:paraId="5E46D1AB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zakup, transport, składowanie i przygotowanie wszystkich materiałów,</w:t>
      </w:r>
    </w:p>
    <w:p w14:paraId="5DE67293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dostarczenie i przygotowanie sprzętu,</w:t>
      </w:r>
    </w:p>
    <w:p w14:paraId="6CC648FE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ewentualne wykonanie wykopów i przygotowanie podłoża, z załadunkiem, transportem oraz utylizacją nadmiaru gruntu, </w:t>
      </w:r>
    </w:p>
    <w:p w14:paraId="0DEB1F14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wykonanie ławy betonowej, </w:t>
      </w:r>
    </w:p>
    <w:p w14:paraId="1013FDD6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ustawienie obrzeży betonowych/oporników wraz z ew. docinaniem elementów betonowych na załamaniach i łukach,</w:t>
      </w:r>
    </w:p>
    <w:p w14:paraId="69FDBDB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wypełnienie spoin piaskiem,</w:t>
      </w:r>
    </w:p>
    <w:p w14:paraId="4664713F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przeprowadzenie pomiarów i badań wymaganych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16594E36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wykończeniowe i uporządkowanie terenu,</w:t>
      </w:r>
    </w:p>
    <w:p w14:paraId="7B1A3CAA" w14:textId="77777777" w:rsidR="00D374E3" w:rsidRDefault="00BE1DFA">
      <w:pPr>
        <w:pStyle w:val="jkpunkto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innych czynności niezbędnych do realizacji robót objętych niniejszą STWIORB, zgodnie z dokumentacją projektową.</w:t>
      </w:r>
    </w:p>
    <w:p w14:paraId="389637CD" w14:textId="77777777" w:rsidR="00D374E3" w:rsidRDefault="00BE1DFA">
      <w:pPr>
        <w:pStyle w:val="jkn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 PRZEPISY ZWIĄZANE</w:t>
      </w:r>
    </w:p>
    <w:tbl>
      <w:tblPr>
        <w:tblW w:w="9402" w:type="dxa"/>
        <w:tblLook w:val="04A0" w:firstRow="1" w:lastRow="0" w:firstColumn="1" w:lastColumn="0" w:noHBand="0" w:noVBand="1"/>
      </w:tblPr>
      <w:tblGrid>
        <w:gridCol w:w="1951"/>
        <w:gridCol w:w="7451"/>
      </w:tblGrid>
      <w:tr w:rsidR="00D374E3" w14:paraId="76BC6703" w14:textId="77777777">
        <w:tc>
          <w:tcPr>
            <w:tcW w:w="1951" w:type="dxa"/>
          </w:tcPr>
          <w:p w14:paraId="75E778A1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991</w:t>
            </w:r>
          </w:p>
        </w:tc>
        <w:tc>
          <w:tcPr>
            <w:tcW w:w="7451" w:type="dxa"/>
          </w:tcPr>
          <w:p w14:paraId="4C0BAB6E" w14:textId="77777777" w:rsidR="00D374E3" w:rsidRDefault="004A7983">
            <w:pPr>
              <w:pStyle w:val="jktablica-teksttablicydorodka"/>
              <w:jc w:val="both"/>
              <w:rPr>
                <w:rFonts w:ascii="Arial" w:hAnsi="Arial" w:cs="Arial"/>
              </w:rPr>
            </w:pPr>
            <w:hyperlink r:id="rId9" w:history="1">
              <w:r w:rsidR="00BE1DFA">
                <w:rPr>
                  <w:rFonts w:ascii="Arial" w:hAnsi="Arial" w:cs="Arial"/>
                </w:rPr>
                <w:t>Oznaczanie wymiarów prefabrykowanych elementów zbrojonych z autoklawizowanego betonu komórkowego lub z betonu lekkiego kruszywowego o otwartej strukturze</w:t>
              </w:r>
            </w:hyperlink>
            <w:r w:rsidR="00BE1DFA">
              <w:rPr>
                <w:rFonts w:ascii="Arial" w:hAnsi="Arial" w:cs="Arial"/>
              </w:rPr>
              <w:t>.</w:t>
            </w:r>
          </w:p>
        </w:tc>
      </w:tr>
      <w:tr w:rsidR="00D374E3" w14:paraId="653EC609" w14:textId="77777777">
        <w:tc>
          <w:tcPr>
            <w:tcW w:w="1951" w:type="dxa"/>
          </w:tcPr>
          <w:p w14:paraId="34C8C5F1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1340</w:t>
            </w:r>
          </w:p>
        </w:tc>
        <w:tc>
          <w:tcPr>
            <w:tcW w:w="7451" w:type="dxa"/>
          </w:tcPr>
          <w:p w14:paraId="155E7F1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Krawężniki betonowe. Wymagania i metody badań.</w:t>
            </w:r>
          </w:p>
        </w:tc>
      </w:tr>
      <w:tr w:rsidR="00D374E3" w14:paraId="03F99296" w14:textId="77777777">
        <w:tc>
          <w:tcPr>
            <w:tcW w:w="1951" w:type="dxa"/>
          </w:tcPr>
          <w:p w14:paraId="34402CF3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206-1</w:t>
            </w:r>
          </w:p>
        </w:tc>
        <w:tc>
          <w:tcPr>
            <w:tcW w:w="7451" w:type="dxa"/>
          </w:tcPr>
          <w:p w14:paraId="1D092C6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Beton. Część 1: Wymagania, właściwości, produkcja i zgodność.</w:t>
            </w:r>
          </w:p>
        </w:tc>
      </w:tr>
      <w:tr w:rsidR="00D374E3" w14:paraId="21307725" w14:textId="77777777">
        <w:tc>
          <w:tcPr>
            <w:tcW w:w="1951" w:type="dxa"/>
          </w:tcPr>
          <w:p w14:paraId="18794130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PN-06250:1988</w:t>
            </w:r>
          </w:p>
        </w:tc>
        <w:tc>
          <w:tcPr>
            <w:tcW w:w="7451" w:type="dxa"/>
          </w:tcPr>
          <w:p w14:paraId="7EC686DB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Beton zwykły.</w:t>
            </w:r>
          </w:p>
        </w:tc>
      </w:tr>
      <w:tr w:rsidR="00D374E3" w14:paraId="56610B17" w14:textId="77777777">
        <w:tc>
          <w:tcPr>
            <w:tcW w:w="1951" w:type="dxa"/>
          </w:tcPr>
          <w:p w14:paraId="5B579C62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12390-3</w:t>
            </w:r>
          </w:p>
        </w:tc>
        <w:tc>
          <w:tcPr>
            <w:tcW w:w="7451" w:type="dxa"/>
          </w:tcPr>
          <w:p w14:paraId="4B17428D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Badania betonu. Część 3: Wytrzymałość na ściskanie próbek do badania.</w:t>
            </w:r>
          </w:p>
        </w:tc>
      </w:tr>
      <w:tr w:rsidR="00D374E3" w14:paraId="4B5AA087" w14:textId="77777777">
        <w:tc>
          <w:tcPr>
            <w:tcW w:w="1951" w:type="dxa"/>
          </w:tcPr>
          <w:p w14:paraId="63F35276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12620</w:t>
            </w:r>
          </w:p>
        </w:tc>
        <w:tc>
          <w:tcPr>
            <w:tcW w:w="7451" w:type="dxa"/>
          </w:tcPr>
          <w:p w14:paraId="08AF624C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Kruszywa do betonu.</w:t>
            </w:r>
          </w:p>
        </w:tc>
      </w:tr>
      <w:tr w:rsidR="00D374E3" w14:paraId="4D8CA438" w14:textId="77777777">
        <w:tc>
          <w:tcPr>
            <w:tcW w:w="1951" w:type="dxa"/>
          </w:tcPr>
          <w:p w14:paraId="6ECD273E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197-1</w:t>
            </w:r>
          </w:p>
        </w:tc>
        <w:tc>
          <w:tcPr>
            <w:tcW w:w="7451" w:type="dxa"/>
          </w:tcPr>
          <w:p w14:paraId="4F676B4F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Cement. Część 1: Skład, wymagania i kryteria zgodności dotyczące cementów powszechnego użytku.</w:t>
            </w:r>
          </w:p>
        </w:tc>
      </w:tr>
      <w:tr w:rsidR="00D374E3" w14:paraId="7F145141" w14:textId="77777777">
        <w:tc>
          <w:tcPr>
            <w:tcW w:w="1951" w:type="dxa"/>
          </w:tcPr>
          <w:p w14:paraId="2784CF1D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934-2</w:t>
            </w:r>
          </w:p>
        </w:tc>
        <w:tc>
          <w:tcPr>
            <w:tcW w:w="7451" w:type="dxa"/>
          </w:tcPr>
          <w:p w14:paraId="2D0A4C0D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Domieszki do betonu, zaprawy i zaczynu. Część 2: Domieszki do betonu. Definicje, wymagania, zgodność oznakowania i etykietowanie.</w:t>
            </w:r>
          </w:p>
        </w:tc>
      </w:tr>
      <w:tr w:rsidR="00D374E3" w14:paraId="30413739" w14:textId="77777777">
        <w:tc>
          <w:tcPr>
            <w:tcW w:w="1951" w:type="dxa"/>
          </w:tcPr>
          <w:p w14:paraId="497E3634" w14:textId="77777777" w:rsidR="00D374E3" w:rsidRDefault="00BE1DFA">
            <w:pPr>
              <w:pStyle w:val="jktablica-teksttablicydorodka"/>
              <w:tabs>
                <w:tab w:val="left" w:pos="133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1008</w:t>
            </w:r>
          </w:p>
        </w:tc>
        <w:tc>
          <w:tcPr>
            <w:tcW w:w="7451" w:type="dxa"/>
          </w:tcPr>
          <w:p w14:paraId="09F25205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Woda zarobowa do betonu. Specyfikacja pobierania próbek, badanie i ocena przydatności wody zarobowej do betonu, w tym wody odzyskanej z procesów produkcji betonu.</w:t>
            </w:r>
          </w:p>
        </w:tc>
      </w:tr>
      <w:tr w:rsidR="00D374E3" w14:paraId="3D01A5A4" w14:textId="77777777">
        <w:tc>
          <w:tcPr>
            <w:tcW w:w="1951" w:type="dxa"/>
          </w:tcPr>
          <w:p w14:paraId="50F06265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13242</w:t>
            </w:r>
          </w:p>
        </w:tc>
        <w:tc>
          <w:tcPr>
            <w:tcW w:w="7451" w:type="dxa"/>
          </w:tcPr>
          <w:p w14:paraId="30FB8A9E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Style w:val="biggertext"/>
                <w:rFonts w:ascii="Arial" w:hAnsi="Arial" w:cs="Arial"/>
              </w:rPr>
              <w:t>Kruszywa do niezwiązanych i związanych hydraulicznie materiałów stosowanych w obiektach budowlanych i budownictwie drogowym.</w:t>
            </w:r>
          </w:p>
        </w:tc>
      </w:tr>
      <w:tr w:rsidR="00D374E3" w14:paraId="0E652810" w14:textId="77777777">
        <w:tc>
          <w:tcPr>
            <w:tcW w:w="1951" w:type="dxa"/>
          </w:tcPr>
          <w:p w14:paraId="033C610B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PN-S-02205:1998</w:t>
            </w:r>
          </w:p>
        </w:tc>
        <w:tc>
          <w:tcPr>
            <w:tcW w:w="7451" w:type="dxa"/>
          </w:tcPr>
          <w:p w14:paraId="3E639C04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Drogi samochodowe. Roboty ziemne. Wymagania i badania.</w:t>
            </w:r>
          </w:p>
        </w:tc>
      </w:tr>
      <w:tr w:rsidR="00D374E3" w14:paraId="2DBC1439" w14:textId="77777777">
        <w:tc>
          <w:tcPr>
            <w:tcW w:w="1951" w:type="dxa"/>
          </w:tcPr>
          <w:p w14:paraId="59BEB9C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BN-77/8931-12</w:t>
            </w:r>
          </w:p>
        </w:tc>
        <w:tc>
          <w:tcPr>
            <w:tcW w:w="7451" w:type="dxa"/>
          </w:tcPr>
          <w:p w14:paraId="04EA5B45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Oznaczenie wskaźnika zagęszczenia gruntu.</w:t>
            </w:r>
          </w:p>
        </w:tc>
      </w:tr>
      <w:tr w:rsidR="00D374E3" w14:paraId="563514EB" w14:textId="77777777">
        <w:tc>
          <w:tcPr>
            <w:tcW w:w="1951" w:type="dxa"/>
          </w:tcPr>
          <w:p w14:paraId="2360A45A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BN-88/6731-08</w:t>
            </w:r>
          </w:p>
        </w:tc>
        <w:tc>
          <w:tcPr>
            <w:tcW w:w="7451" w:type="dxa"/>
          </w:tcPr>
          <w:p w14:paraId="4D8DDBC6" w14:textId="77777777" w:rsidR="00D374E3" w:rsidRDefault="00BE1DFA">
            <w:pPr>
              <w:pStyle w:val="jktablica-teksttablicydorodk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Cement. Transport i przechowywanie.</w:t>
            </w:r>
          </w:p>
        </w:tc>
      </w:tr>
    </w:tbl>
    <w:p w14:paraId="4D705AFB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6A5F2054" w14:textId="77777777" w:rsidR="00D374E3" w:rsidRDefault="00BE1DFA">
      <w:pPr>
        <w:pStyle w:val="jktekst"/>
        <w:ind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„Katalog powtarzalnych elementów drogowych” (KPED)  - </w:t>
      </w:r>
      <w:proofErr w:type="spellStart"/>
      <w:r>
        <w:rPr>
          <w:rFonts w:ascii="Arial" w:hAnsi="Arial" w:cs="Arial"/>
          <w:sz w:val="18"/>
          <w:szCs w:val="18"/>
        </w:rPr>
        <w:t>Transprojekt</w:t>
      </w:r>
      <w:proofErr w:type="spellEnd"/>
      <w:r>
        <w:rPr>
          <w:rFonts w:ascii="Arial" w:hAnsi="Arial" w:cs="Arial"/>
          <w:sz w:val="18"/>
          <w:szCs w:val="18"/>
        </w:rPr>
        <w:t>-Warszawa,  1979 i  1982 r.</w:t>
      </w:r>
    </w:p>
    <w:p w14:paraId="5E682BDA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D673544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p w14:paraId="5B736132" w14:textId="77777777" w:rsidR="00D374E3" w:rsidRDefault="00D374E3">
      <w:pPr>
        <w:pStyle w:val="jktekst"/>
        <w:rPr>
          <w:rFonts w:ascii="Arial" w:hAnsi="Arial" w:cs="Arial"/>
          <w:sz w:val="18"/>
          <w:szCs w:val="18"/>
        </w:rPr>
      </w:pPr>
    </w:p>
    <w:sectPr w:rsidR="00D374E3" w:rsidSect="00BB16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8" w:right="1418" w:bottom="992" w:left="1418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2715E" w14:textId="77777777" w:rsidR="00513F4A" w:rsidRDefault="00513F4A">
      <w:pPr>
        <w:spacing w:after="0"/>
      </w:pPr>
      <w:r>
        <w:separator/>
      </w:r>
    </w:p>
    <w:p w14:paraId="6D541483" w14:textId="77777777" w:rsidR="00513F4A" w:rsidRDefault="00513F4A"/>
  </w:endnote>
  <w:endnote w:type="continuationSeparator" w:id="0">
    <w:p w14:paraId="22ADDA30" w14:textId="77777777" w:rsidR="00513F4A" w:rsidRDefault="00513F4A">
      <w:pPr>
        <w:spacing w:after="0"/>
      </w:pPr>
      <w:r>
        <w:continuationSeparator/>
      </w:r>
    </w:p>
    <w:p w14:paraId="02983437" w14:textId="77777777" w:rsidR="00513F4A" w:rsidRDefault="00513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30F1" w14:textId="77777777" w:rsidR="00D374E3" w:rsidRDefault="004A7983">
    <w:pPr>
      <w:pStyle w:val="Stopka"/>
      <w:tabs>
        <w:tab w:val="clear" w:pos="9072"/>
        <w:tab w:val="right" w:pos="10206"/>
      </w:tabs>
      <w:rPr>
        <w:rFonts w:ascii="Verdana" w:hAnsi="Verdana"/>
      </w:rPr>
    </w:pPr>
    <w:r>
      <w:pict w14:anchorId="7E7E820F">
        <v:rect id="_x0000_i1025" style="width:0;height:1.5pt" o:hralign="center" o:hrstd="t" o:hr="t" fillcolor="#a0a0a0" stroked="f"/>
      </w:pict>
    </w:r>
  </w:p>
  <w:p w14:paraId="57C848BE" w14:textId="77777777" w:rsidR="00D374E3" w:rsidRDefault="00D37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611C" w14:textId="77777777" w:rsidR="00D374E3" w:rsidRDefault="00D374E3">
    <w:pPr>
      <w:pStyle w:val="Stopka"/>
      <w:jc w:val="right"/>
      <w:rPr>
        <w:rFonts w:ascii="Arial" w:hAnsi="Arial" w:cs="Arial"/>
        <w:sz w:val="16"/>
        <w:szCs w:val="16"/>
      </w:rPr>
    </w:pPr>
  </w:p>
  <w:p w14:paraId="405D3D9F" w14:textId="76765FD9" w:rsidR="00D374E3" w:rsidRDefault="00BB1672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.</w:t>
    </w:r>
  </w:p>
  <w:p w14:paraId="5411DD6B" w14:textId="616EE5E5" w:rsidR="00D374E3" w:rsidRPr="00BB1672" w:rsidRDefault="00BE1DFA">
    <w:pPr>
      <w:autoSpaceDE w:val="0"/>
      <w:autoSpaceDN w:val="0"/>
      <w:adjustRightInd w:val="0"/>
      <w:jc w:val="right"/>
      <w:rPr>
        <w:rFonts w:ascii="Arial" w:hAnsi="Arial" w:cs="Arial"/>
        <w:sz w:val="16"/>
        <w:szCs w:val="16"/>
      </w:rPr>
    </w:pPr>
    <w:r w:rsidRPr="00BB1672">
      <w:rPr>
        <w:rFonts w:ascii="Arial" w:hAnsi="Arial" w:cs="Arial"/>
        <w:sz w:val="16"/>
        <w:szCs w:val="16"/>
      </w:rPr>
      <w:t xml:space="preserve">XX - Strona </w:t>
    </w:r>
    <w:r w:rsidRPr="00BB1672">
      <w:rPr>
        <w:rFonts w:ascii="Arial" w:hAnsi="Arial" w:cs="Arial"/>
        <w:bCs/>
        <w:sz w:val="16"/>
        <w:szCs w:val="16"/>
      </w:rPr>
      <w:fldChar w:fldCharType="begin"/>
    </w:r>
    <w:r w:rsidRPr="00BB1672">
      <w:rPr>
        <w:rFonts w:ascii="Arial" w:hAnsi="Arial" w:cs="Arial"/>
        <w:bCs/>
        <w:sz w:val="16"/>
        <w:szCs w:val="16"/>
      </w:rPr>
      <w:instrText>PAGE</w:instrText>
    </w:r>
    <w:r w:rsidRPr="00BB1672">
      <w:rPr>
        <w:rFonts w:ascii="Arial" w:hAnsi="Arial" w:cs="Arial"/>
        <w:bCs/>
        <w:sz w:val="16"/>
        <w:szCs w:val="16"/>
      </w:rPr>
      <w:fldChar w:fldCharType="separate"/>
    </w:r>
    <w:r w:rsidR="005F5B64">
      <w:rPr>
        <w:rFonts w:ascii="Arial" w:hAnsi="Arial" w:cs="Arial"/>
        <w:bCs/>
        <w:noProof/>
        <w:sz w:val="16"/>
        <w:szCs w:val="16"/>
      </w:rPr>
      <w:t>8</w:t>
    </w:r>
    <w:r w:rsidRPr="00BB1672">
      <w:rPr>
        <w:rFonts w:ascii="Arial" w:hAnsi="Arial" w:cs="Arial"/>
        <w:bCs/>
        <w:sz w:val="16"/>
        <w:szCs w:val="16"/>
      </w:rPr>
      <w:fldChar w:fldCharType="end"/>
    </w:r>
    <w:r w:rsidRPr="00BB1672">
      <w:rPr>
        <w:rFonts w:ascii="Arial" w:hAnsi="Arial" w:cs="Arial"/>
        <w:sz w:val="16"/>
        <w:szCs w:val="16"/>
      </w:rPr>
      <w:t xml:space="preserve"> z </w:t>
    </w:r>
    <w:r w:rsidRPr="00BB1672">
      <w:rPr>
        <w:rFonts w:ascii="Arial" w:hAnsi="Arial" w:cs="Arial"/>
        <w:bCs/>
        <w:sz w:val="16"/>
        <w:szCs w:val="16"/>
      </w:rPr>
      <w:fldChar w:fldCharType="begin"/>
    </w:r>
    <w:r w:rsidRPr="00BB1672">
      <w:rPr>
        <w:rFonts w:ascii="Arial" w:hAnsi="Arial" w:cs="Arial"/>
        <w:bCs/>
        <w:sz w:val="16"/>
        <w:szCs w:val="16"/>
      </w:rPr>
      <w:instrText>NUMPAGES</w:instrText>
    </w:r>
    <w:r w:rsidRPr="00BB1672">
      <w:rPr>
        <w:rFonts w:ascii="Arial" w:hAnsi="Arial" w:cs="Arial"/>
        <w:bCs/>
        <w:sz w:val="16"/>
        <w:szCs w:val="16"/>
      </w:rPr>
      <w:fldChar w:fldCharType="separate"/>
    </w:r>
    <w:r w:rsidR="005F5B64">
      <w:rPr>
        <w:rFonts w:ascii="Arial" w:hAnsi="Arial" w:cs="Arial"/>
        <w:bCs/>
        <w:noProof/>
        <w:sz w:val="16"/>
        <w:szCs w:val="16"/>
      </w:rPr>
      <w:t>8</w:t>
    </w:r>
    <w:r w:rsidRPr="00BB1672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E55C" w14:textId="77777777" w:rsidR="00513F4A" w:rsidRDefault="00513F4A">
      <w:pPr>
        <w:spacing w:after="0"/>
      </w:pPr>
      <w:r>
        <w:separator/>
      </w:r>
    </w:p>
    <w:p w14:paraId="0F9AC594" w14:textId="77777777" w:rsidR="00513F4A" w:rsidRDefault="00513F4A"/>
  </w:footnote>
  <w:footnote w:type="continuationSeparator" w:id="0">
    <w:p w14:paraId="242E99E9" w14:textId="77777777" w:rsidR="00513F4A" w:rsidRDefault="00513F4A">
      <w:pPr>
        <w:spacing w:after="0"/>
      </w:pPr>
      <w:r>
        <w:continuationSeparator/>
      </w:r>
    </w:p>
    <w:p w14:paraId="2AD3512B" w14:textId="77777777" w:rsidR="00513F4A" w:rsidRDefault="00513F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80C7A" w14:textId="77777777" w:rsidR="00D374E3" w:rsidRDefault="00D374E3">
    <w:pPr>
      <w:pStyle w:val="Nagwek"/>
      <w:pBdr>
        <w:bottom w:val="single" w:sz="4" w:space="1" w:color="auto"/>
      </w:pBdr>
      <w:tabs>
        <w:tab w:val="clear" w:pos="9072"/>
        <w:tab w:val="right" w:pos="10206"/>
      </w:tabs>
      <w:rPr>
        <w:rFonts w:ascii="Verdana" w:eastAsia="Times New Roman" w:hAnsi="Verdana" w:cs="Tahoma"/>
        <w:i/>
        <w:sz w:val="12"/>
        <w:szCs w:val="12"/>
      </w:rPr>
    </w:pPr>
  </w:p>
  <w:p w14:paraId="02137685" w14:textId="77777777" w:rsidR="00D374E3" w:rsidRDefault="00D37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AF38" w14:textId="77777777" w:rsidR="00D374E3" w:rsidRDefault="00D374E3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</w:pPr>
  </w:p>
  <w:p w14:paraId="3281DCB9" w14:textId="77777777" w:rsidR="00D374E3" w:rsidRDefault="006F4F14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</w:pPr>
    <w:r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  <w:t>D-08.03.01 O</w:t>
    </w:r>
    <w:r w:rsidR="00BB1672">
      <w:rPr>
        <w:rFonts w:ascii="Verdana" w:eastAsia="Arial Unicode MS" w:hAnsi="Verdana" w:cs="Calibri"/>
        <w:bCs/>
        <w:iCs/>
        <w:color w:val="000000"/>
        <w:spacing w:val="-1"/>
        <w:sz w:val="16"/>
        <w:szCs w:val="24"/>
        <w:lang w:val="pl" w:eastAsia="pl-PL"/>
      </w:rPr>
      <w:t>brzeża betonowe.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61D6" w14:textId="77777777" w:rsidR="00D374E3" w:rsidRDefault="00BE1DFA">
    <w:pPr>
      <w:pStyle w:val="Nagwek"/>
      <w:tabs>
        <w:tab w:val="clear" w:pos="4536"/>
      </w:tabs>
      <w:rPr>
        <w:rFonts w:cs="Tahoma"/>
        <w:color w:val="595959"/>
        <w:sz w:val="18"/>
        <w:szCs w:val="18"/>
      </w:rPr>
    </w:pPr>
    <w:r>
      <w:rPr>
        <w:rFonts w:cs="Tahoma"/>
        <w:color w:val="595959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E52D2"/>
    <w:multiLevelType w:val="multilevel"/>
    <w:tmpl w:val="CF3226BA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2C697491"/>
    <w:multiLevelType w:val="hybridMultilevel"/>
    <w:tmpl w:val="69E61504"/>
    <w:lvl w:ilvl="0" w:tplc="ADC01884">
      <w:start w:val="1"/>
      <w:numFmt w:val="bullet"/>
      <w:pStyle w:val="jkpunktor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AC220C">
      <w:start w:val="1"/>
      <w:numFmt w:val="bullet"/>
      <w:pStyle w:val="jkpodpunkto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D5347"/>
    <w:multiLevelType w:val="multilevel"/>
    <w:tmpl w:val="95C66DE6"/>
    <w:lvl w:ilvl="0">
      <w:start w:val="1"/>
      <w:numFmt w:val="decimal"/>
      <w:pStyle w:val="jkn1"/>
      <w:suff w:val="nothing"/>
      <w:lvlText w:val="%1. 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jkn2"/>
      <w:suff w:val="nothing"/>
      <w:lvlText w:val="%1.%2. 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decimal"/>
      <w:pStyle w:val="jkn3"/>
      <w:suff w:val="nothing"/>
      <w:lvlText w:val="%1.%2.%3. 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Restart w:val="1"/>
      <w:pStyle w:val="jkn4"/>
      <w:suff w:val="nothing"/>
      <w:lvlText w:val="%1.%2.%3.%4. "/>
      <w:lvlJc w:val="left"/>
      <w:pPr>
        <w:ind w:left="864" w:hanging="864"/>
      </w:pPr>
      <w:rPr>
        <w:rFonts w:hint="default"/>
        <w:b/>
        <w:i w:val="0"/>
      </w:rPr>
    </w:lvl>
    <w:lvl w:ilvl="4">
      <w:start w:val="1"/>
      <w:numFmt w:val="decimal"/>
      <w:lvlRestart w:val="1"/>
      <w:pStyle w:val="jkn5"/>
      <w:lvlText w:val="%1.%2.%3.%4.%5. "/>
      <w:lvlJc w:val="left"/>
      <w:pPr>
        <w:ind w:left="1008" w:hanging="1008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  <w:i w:val="0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8673DAE"/>
    <w:multiLevelType w:val="hybridMultilevel"/>
    <w:tmpl w:val="DF36CDC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8191A"/>
    <w:multiLevelType w:val="hybridMultilevel"/>
    <w:tmpl w:val="594410C0"/>
    <w:lvl w:ilvl="0" w:tplc="0962460E">
      <w:start w:val="1"/>
      <w:numFmt w:val="lowerLetter"/>
      <w:pStyle w:val="g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A50AF"/>
    <w:multiLevelType w:val="multilevel"/>
    <w:tmpl w:val="0415001D"/>
    <w:styleLink w:val="jk-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4"/>
    </w:lvlOverride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E3"/>
    <w:rsid w:val="00134AC8"/>
    <w:rsid w:val="00190A66"/>
    <w:rsid w:val="003807F5"/>
    <w:rsid w:val="003E4946"/>
    <w:rsid w:val="0045515C"/>
    <w:rsid w:val="004A03D4"/>
    <w:rsid w:val="004A7983"/>
    <w:rsid w:val="00513F4A"/>
    <w:rsid w:val="00573FD5"/>
    <w:rsid w:val="005E1F41"/>
    <w:rsid w:val="005F5B64"/>
    <w:rsid w:val="00607590"/>
    <w:rsid w:val="00667060"/>
    <w:rsid w:val="006A0294"/>
    <w:rsid w:val="006F4F14"/>
    <w:rsid w:val="007046B2"/>
    <w:rsid w:val="00886A7C"/>
    <w:rsid w:val="00A24459"/>
    <w:rsid w:val="00A25D48"/>
    <w:rsid w:val="00B90D45"/>
    <w:rsid w:val="00BB1672"/>
    <w:rsid w:val="00BB640D"/>
    <w:rsid w:val="00BE1DFA"/>
    <w:rsid w:val="00D374E3"/>
    <w:rsid w:val="00D51CBE"/>
    <w:rsid w:val="00DE477E"/>
    <w:rsid w:val="00E30EBF"/>
    <w:rsid w:val="00EC0FCF"/>
    <w:rsid w:val="00FD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759218F"/>
  <w15:docId w15:val="{F07C4905-570A-4C68-980E-9F48A759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/>
      <w:jc w:val="both"/>
    </w:pPr>
    <w:rPr>
      <w:rFonts w:ascii="Tahoma" w:hAnsi="Tahom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rFonts w:ascii="Tahoma" w:hAnsi="Tahoma"/>
      <w:szCs w:val="22"/>
      <w:lang w:eastAsia="en-US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rPr>
      <w:rFonts w:ascii="Tahoma" w:hAnsi="Tahoma"/>
      <w:sz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gwek4Znak">
    <w:name w:val="Nagłówek 4 Znak"/>
    <w:link w:val="Nagwek4"/>
    <w:uiPriority w:val="9"/>
    <w:rPr>
      <w:rFonts w:ascii="Cambria" w:eastAsia="Times New Roman" w:hAnsi="Cambria" w:cs="Times New Roman"/>
      <w:b/>
      <w:bCs/>
      <w:i/>
      <w:iCs/>
      <w:color w:val="4F81BD"/>
      <w:sz w:val="20"/>
    </w:rPr>
  </w:style>
  <w:style w:type="character" w:customStyle="1" w:styleId="Nagwek5Znak">
    <w:name w:val="Nagłówek 5 Znak"/>
    <w:link w:val="Nagwek5"/>
    <w:uiPriority w:val="9"/>
    <w:rPr>
      <w:rFonts w:ascii="Cambria" w:eastAsia="Times New Roman" w:hAnsi="Cambria" w:cs="Times New Roman"/>
      <w:color w:val="243F60"/>
      <w:sz w:val="20"/>
    </w:rPr>
  </w:style>
  <w:style w:type="character" w:customStyle="1" w:styleId="Nagwek6Znak">
    <w:name w:val="Nagłówek 6 Znak"/>
    <w:link w:val="Nagwek6"/>
    <w:uiPriority w:val="9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Nagwek7Znak">
    <w:name w:val="Nagłówek 7 Znak"/>
    <w:link w:val="Nagwek7"/>
    <w:uiPriority w:val="9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Nagwek8Znak">
    <w:name w:val="Nagłówek 8 Znak"/>
    <w:link w:val="Nagwek8"/>
    <w:uiPriority w:val="9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rPr>
      <w:rFonts w:ascii="Cambria" w:eastAsia="Times New Roman" w:hAnsi="Cambria"/>
      <w:i/>
      <w:iCs/>
      <w:color w:val="404040"/>
      <w:lang w:eastAsia="en-US"/>
    </w:rPr>
  </w:style>
  <w:style w:type="paragraph" w:customStyle="1" w:styleId="jkn1">
    <w:name w:val="jk_n1"/>
    <w:next w:val="jkn2"/>
    <w:qFormat/>
    <w:pPr>
      <w:keepNext/>
      <w:numPr>
        <w:numId w:val="1"/>
      </w:numPr>
      <w:spacing w:after="100"/>
      <w:jc w:val="both"/>
    </w:pPr>
    <w:rPr>
      <w:rFonts w:ascii="Tahoma" w:hAnsi="Tahoma"/>
      <w:b/>
      <w:caps/>
      <w:szCs w:val="22"/>
      <w:lang w:eastAsia="en-US"/>
    </w:rPr>
  </w:style>
  <w:style w:type="paragraph" w:customStyle="1" w:styleId="jkn2">
    <w:name w:val="jk_n2"/>
    <w:basedOn w:val="Normalny"/>
    <w:next w:val="jktekst"/>
    <w:link w:val="jkn2Znak"/>
    <w:pPr>
      <w:keepNext/>
      <w:numPr>
        <w:ilvl w:val="1"/>
        <w:numId w:val="1"/>
      </w:numPr>
      <w:spacing w:after="100"/>
    </w:pPr>
    <w:rPr>
      <w:b/>
    </w:rPr>
  </w:style>
  <w:style w:type="paragraph" w:customStyle="1" w:styleId="jktekst">
    <w:name w:val="jk_tekst"/>
    <w:link w:val="jktekstZnak"/>
    <w:autoRedefine/>
    <w:qFormat/>
    <w:pPr>
      <w:spacing w:after="100"/>
      <w:ind w:firstLine="567"/>
      <w:contextualSpacing/>
      <w:jc w:val="both"/>
    </w:pPr>
    <w:rPr>
      <w:rFonts w:ascii="Verdana" w:hAnsi="Verdana"/>
      <w:szCs w:val="22"/>
      <w:lang w:eastAsia="en-US"/>
    </w:rPr>
  </w:style>
  <w:style w:type="paragraph" w:customStyle="1" w:styleId="jk1">
    <w:name w:val="jk_1"/>
    <w:basedOn w:val="Normalny"/>
    <w:autoRedefine/>
    <w:qFormat/>
    <w:pPr>
      <w:contextualSpacing/>
      <w:jc w:val="center"/>
    </w:pPr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Tahoma" w:hAnsi="Tahoma"/>
      <w:sz w:val="20"/>
      <w:szCs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customStyle="1" w:styleId="jkn3">
    <w:name w:val="jk_n3"/>
    <w:basedOn w:val="jkn2"/>
    <w:next w:val="jktekst"/>
    <w:link w:val="jkn3Znak"/>
    <w:qFormat/>
    <w:pPr>
      <w:numPr>
        <w:ilvl w:val="2"/>
      </w:numPr>
      <w:ind w:left="567" w:hanging="567"/>
    </w:pPr>
    <w:rPr>
      <w:b w:val="0"/>
    </w:rPr>
  </w:style>
  <w:style w:type="paragraph" w:customStyle="1" w:styleId="jkn4">
    <w:name w:val="jk_n4"/>
    <w:basedOn w:val="jkn3"/>
    <w:next w:val="jktekst"/>
    <w:autoRedefine/>
    <w:qFormat/>
    <w:pPr>
      <w:numPr>
        <w:ilvl w:val="3"/>
      </w:numPr>
    </w:pPr>
  </w:style>
  <w:style w:type="paragraph" w:customStyle="1" w:styleId="jkn5">
    <w:name w:val="jk_n5"/>
    <w:basedOn w:val="jkn2"/>
    <w:next w:val="jktekst"/>
    <w:autoRedefine/>
    <w:qFormat/>
    <w:pPr>
      <w:numPr>
        <w:ilvl w:val="4"/>
      </w:numPr>
    </w:pPr>
    <w:rPr>
      <w:b w:val="0"/>
    </w:rPr>
  </w:style>
  <w:style w:type="paragraph" w:customStyle="1" w:styleId="jkpogrubienie">
    <w:name w:val="jk_pogrubienie"/>
    <w:basedOn w:val="jktekst"/>
    <w:link w:val="jkpogrubienieZnak"/>
    <w:autoRedefine/>
    <w:pPr>
      <w:ind w:firstLine="0"/>
    </w:pPr>
    <w:rPr>
      <w:b/>
    </w:rPr>
  </w:style>
  <w:style w:type="character" w:customStyle="1" w:styleId="jktekstZnak">
    <w:name w:val="jk_tekst Znak"/>
    <w:link w:val="jktekst"/>
    <w:rPr>
      <w:rFonts w:ascii="Verdana" w:hAnsi="Verdana"/>
      <w:szCs w:val="22"/>
      <w:lang w:eastAsia="en-US"/>
    </w:rPr>
  </w:style>
  <w:style w:type="character" w:customStyle="1" w:styleId="jkpogrubienieZnak">
    <w:name w:val="jk_pogrubienie Znak"/>
    <w:link w:val="jkpogrubienie"/>
    <w:rPr>
      <w:rFonts w:ascii="Tahoma" w:hAnsi="Tahoma"/>
      <w:b/>
      <w:szCs w:val="22"/>
      <w:lang w:eastAsia="en-US"/>
    </w:rPr>
  </w:style>
  <w:style w:type="paragraph" w:customStyle="1" w:styleId="jkt1">
    <w:name w:val="jk_t1"/>
    <w:autoRedefine/>
    <w:qFormat/>
    <w:pPr>
      <w:spacing w:after="200"/>
      <w:contextualSpacing/>
      <w:jc w:val="center"/>
    </w:pPr>
    <w:rPr>
      <w:rFonts w:ascii="Tahoma" w:hAnsi="Tahoma"/>
      <w:b/>
      <w:caps/>
      <w:sz w:val="24"/>
      <w:szCs w:val="22"/>
      <w:lang w:eastAsia="en-US"/>
    </w:rPr>
  </w:style>
  <w:style w:type="paragraph" w:customStyle="1" w:styleId="jkt2">
    <w:name w:val="jk_t2"/>
    <w:qFormat/>
    <w:pPr>
      <w:spacing w:after="100"/>
      <w:contextualSpacing/>
      <w:jc w:val="center"/>
    </w:pPr>
    <w:rPr>
      <w:rFonts w:ascii="Tahoma" w:hAnsi="Tahoma"/>
      <w:b/>
      <w:sz w:val="24"/>
      <w:szCs w:val="22"/>
      <w:lang w:eastAsia="en-US"/>
    </w:rPr>
  </w:style>
  <w:style w:type="paragraph" w:customStyle="1" w:styleId="jkt3">
    <w:name w:val="jk_t3"/>
    <w:qFormat/>
    <w:pPr>
      <w:spacing w:after="100"/>
      <w:contextualSpacing/>
      <w:jc w:val="center"/>
    </w:pPr>
    <w:rPr>
      <w:rFonts w:ascii="Tahoma" w:hAnsi="Tahoma"/>
      <w:b/>
      <w:szCs w:val="22"/>
      <w:lang w:eastAsia="en-US"/>
    </w:rPr>
  </w:style>
  <w:style w:type="numbering" w:customStyle="1" w:styleId="jk-">
    <w:name w:val="jk_-"/>
    <w:basedOn w:val="Bezlisty"/>
    <w:uiPriority w:val="99"/>
    <w:pPr>
      <w:numPr>
        <w:numId w:val="2"/>
      </w:numPr>
    </w:pPr>
  </w:style>
  <w:style w:type="paragraph" w:customStyle="1" w:styleId="jkpunktor">
    <w:name w:val="jk_punktor"/>
    <w:qFormat/>
    <w:pPr>
      <w:numPr>
        <w:numId w:val="3"/>
      </w:numPr>
      <w:spacing w:after="100"/>
      <w:ind w:left="284" w:hanging="284"/>
      <w:contextualSpacing/>
      <w:jc w:val="both"/>
    </w:pPr>
    <w:rPr>
      <w:rFonts w:ascii="Tahoma" w:hAnsi="Tahoma"/>
      <w:szCs w:val="22"/>
      <w:lang w:eastAsia="en-US"/>
    </w:rPr>
  </w:style>
  <w:style w:type="character" w:customStyle="1" w:styleId="biggertext">
    <w:name w:val="biggertext"/>
    <w:basedOn w:val="Domylnaczcionkaakapitu"/>
  </w:style>
  <w:style w:type="paragraph" w:customStyle="1" w:styleId="g">
    <w:name w:val="łg"/>
    <w:basedOn w:val="jkn3"/>
    <w:link w:val="gZnak"/>
    <w:qFormat/>
    <w:pPr>
      <w:numPr>
        <w:ilvl w:val="0"/>
        <w:numId w:val="4"/>
      </w:numPr>
    </w:pPr>
  </w:style>
  <w:style w:type="character" w:styleId="Hipercze">
    <w:name w:val="Hyperlink"/>
    <w:uiPriority w:val="99"/>
    <w:semiHidden/>
    <w:unhideWhenUsed/>
    <w:rPr>
      <w:color w:val="0000FF"/>
      <w:u w:val="single"/>
    </w:rPr>
  </w:style>
  <w:style w:type="character" w:customStyle="1" w:styleId="jkn2Znak">
    <w:name w:val="jk_n2 Znak"/>
    <w:link w:val="jkn2"/>
    <w:rPr>
      <w:rFonts w:ascii="Tahoma" w:hAnsi="Tahoma"/>
      <w:b/>
      <w:szCs w:val="22"/>
      <w:lang w:eastAsia="en-US"/>
    </w:rPr>
  </w:style>
  <w:style w:type="character" w:customStyle="1" w:styleId="jkn3Znak">
    <w:name w:val="jk_n3 Znak"/>
    <w:link w:val="jkn3"/>
    <w:rPr>
      <w:rFonts w:ascii="Tahoma" w:hAnsi="Tahoma"/>
      <w:szCs w:val="22"/>
      <w:lang w:eastAsia="en-US"/>
    </w:rPr>
  </w:style>
  <w:style w:type="character" w:customStyle="1" w:styleId="gZnak">
    <w:name w:val="łg Znak"/>
    <w:link w:val="g"/>
    <w:rPr>
      <w:rFonts w:ascii="Tahoma" w:hAnsi="Tahoma"/>
      <w:szCs w:val="22"/>
      <w:lang w:eastAsia="en-US"/>
    </w:rPr>
  </w:style>
  <w:style w:type="paragraph" w:customStyle="1" w:styleId="jknormy">
    <w:name w:val="jk_normy"/>
    <w:basedOn w:val="Normalny"/>
    <w:qFormat/>
    <w:pPr>
      <w:spacing w:after="0"/>
      <w:contextualSpacing/>
    </w:pPr>
    <w:rPr>
      <w:rFonts w:cs="Tahoma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</w:style>
  <w:style w:type="character" w:customStyle="1" w:styleId="apple-converted-space">
    <w:name w:val="apple-converted-space"/>
    <w:basedOn w:val="Domylnaczcionkaakapitu"/>
  </w:style>
  <w:style w:type="paragraph" w:customStyle="1" w:styleId="jktekst2">
    <w:name w:val="jk_tekst2"/>
    <w:qFormat/>
    <w:pPr>
      <w:jc w:val="both"/>
    </w:pPr>
    <w:rPr>
      <w:rFonts w:ascii="Tahoma" w:hAnsi="Tahoma"/>
      <w:szCs w:val="22"/>
      <w:lang w:eastAsia="en-US"/>
    </w:rPr>
  </w:style>
  <w:style w:type="paragraph" w:customStyle="1" w:styleId="jktablicanagwek">
    <w:name w:val="jk_tablica nagłówek"/>
    <w:basedOn w:val="Normalny"/>
    <w:qFormat/>
    <w:pPr>
      <w:keepNext/>
      <w:spacing w:before="160" w:after="140"/>
      <w:jc w:val="center"/>
    </w:pPr>
  </w:style>
  <w:style w:type="paragraph" w:customStyle="1" w:styleId="jktablica-teksttablicydorodka">
    <w:name w:val="jk_tablica - tekst tablicy do środka"/>
    <w:basedOn w:val="Normalny"/>
    <w:qFormat/>
    <w:pPr>
      <w:spacing w:after="0"/>
      <w:jc w:val="center"/>
    </w:pPr>
    <w:rPr>
      <w:sz w:val="18"/>
      <w:szCs w:val="18"/>
      <w:lang w:eastAsia="pl-PL"/>
    </w:rPr>
  </w:style>
  <w:style w:type="paragraph" w:customStyle="1" w:styleId="jktablica-pierwszywiersz">
    <w:name w:val="jk_tablica - pierwszy wiersz"/>
    <w:basedOn w:val="jktablica-teksttablicydorodka"/>
    <w:qFormat/>
    <w:pPr>
      <w:keepNext/>
      <w:spacing w:before="20" w:after="20"/>
    </w:pPr>
  </w:style>
  <w:style w:type="paragraph" w:customStyle="1" w:styleId="jkpodpunktor">
    <w:name w:val="jk_podpunktor"/>
    <w:basedOn w:val="jkpunktor"/>
    <w:qFormat/>
    <w:pPr>
      <w:numPr>
        <w:ilvl w:val="1"/>
      </w:numPr>
      <w:spacing w:after="60"/>
      <w:ind w:left="709" w:hanging="283"/>
    </w:pPr>
  </w:style>
  <w:style w:type="paragraph" w:customStyle="1" w:styleId="jktablica-teksttablicydolewej">
    <w:name w:val="jk_tablica - tekst tablicy do lewej"/>
    <w:basedOn w:val="jktablica-teksttablicydorodka"/>
    <w:qFormat/>
    <w:pPr>
      <w:jc w:val="left"/>
    </w:pPr>
  </w:style>
  <w:style w:type="paragraph" w:customStyle="1" w:styleId="jktablica-teksttablicy">
    <w:name w:val="jk_tablica - tekst tablicy"/>
    <w:basedOn w:val="Normalny"/>
    <w:qFormat/>
    <w:pPr>
      <w:spacing w:after="0"/>
      <w:jc w:val="left"/>
    </w:pPr>
    <w:rPr>
      <w:sz w:val="18"/>
      <w:szCs w:val="18"/>
    </w:rPr>
  </w:style>
  <w:style w:type="paragraph" w:customStyle="1" w:styleId="Rozdzia">
    <w:name w:val="Rozdział"/>
    <w:basedOn w:val="Normalny"/>
    <w:pPr>
      <w:spacing w:before="240" w:after="60" w:line="312" w:lineRule="auto"/>
      <w:ind w:left="1418" w:hanging="1418"/>
    </w:pPr>
    <w:rPr>
      <w:rFonts w:ascii="Times New Roman" w:eastAsia="Times New Roman" w:hAnsi="Times New Roman"/>
      <w:b/>
      <w:caps/>
      <w:kern w:val="28"/>
      <w:sz w:val="28"/>
      <w:szCs w:val="20"/>
      <w:lang w:eastAsia="pl-PL"/>
    </w:rPr>
  </w:style>
  <w:style w:type="paragraph" w:customStyle="1" w:styleId="Specyfikacja">
    <w:name w:val="Specyfikacja"/>
    <w:basedOn w:val="Normalny"/>
    <w:pPr>
      <w:spacing w:before="60" w:after="240" w:line="312" w:lineRule="auto"/>
      <w:ind w:left="1418" w:hanging="1418"/>
    </w:pPr>
    <w:rPr>
      <w:rFonts w:ascii="Times New Roman" w:eastAsia="Times New Roman" w:hAnsi="Times New Roman"/>
      <w:b/>
      <w:cap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pPr>
      <w:widowControl w:val="0"/>
      <w:spacing w:after="0"/>
    </w:pPr>
    <w:rPr>
      <w:rFonts w:ascii="Times New Roman" w:eastAsia="Times New Roman" w:hAnsi="Times New Roman"/>
      <w:snapToGrid w:val="0"/>
      <w:color w:val="0000FF"/>
      <w:szCs w:val="20"/>
      <w:lang w:eastAsia="pl-PL"/>
    </w:rPr>
  </w:style>
  <w:style w:type="character" w:customStyle="1" w:styleId="Tekstpodstawowy2Znak">
    <w:name w:val="Tekst podstawowy 2 Znak"/>
    <w:link w:val="Tekstpodstawowy2"/>
    <w:rPr>
      <w:rFonts w:ascii="Times New Roman" w:eastAsia="Times New Roman" w:hAnsi="Times New Roman"/>
      <w:snapToGrid w:val="0"/>
      <w:color w:val="0000FF"/>
    </w:rPr>
  </w:style>
  <w:style w:type="paragraph" w:customStyle="1" w:styleId="Nag2">
    <w:name w:val="Nag2"/>
    <w:basedOn w:val="Nagwek2"/>
    <w:pPr>
      <w:keepLines w:val="0"/>
      <w:widowControl w:val="0"/>
      <w:numPr>
        <w:numId w:val="5"/>
      </w:numPr>
      <w:spacing w:before="0"/>
      <w:ind w:left="357" w:hanging="357"/>
    </w:pPr>
    <w:rPr>
      <w:rFonts w:ascii="Verdana" w:hAnsi="Verdana"/>
      <w:snapToGrid w:val="0"/>
      <w:color w:val="auto"/>
      <w:sz w:val="20"/>
      <w:szCs w:val="20"/>
      <w:lang w:eastAsia="pl-PL"/>
    </w:rPr>
  </w:style>
  <w:style w:type="paragraph" w:customStyle="1" w:styleId="Aga21">
    <w:name w:val="Aga2.1"/>
    <w:basedOn w:val="Normalny"/>
    <w:link w:val="Aga21Znak"/>
    <w:qFormat/>
    <w:pPr>
      <w:keepNext/>
      <w:widowControl w:val="0"/>
      <w:numPr>
        <w:ilvl w:val="1"/>
        <w:numId w:val="5"/>
      </w:numPr>
      <w:spacing w:after="0"/>
      <w:ind w:left="0" w:firstLine="0"/>
      <w:outlineLvl w:val="1"/>
    </w:pPr>
    <w:rPr>
      <w:rFonts w:ascii="Verdana" w:eastAsia="Times New Roman" w:hAnsi="Verdana"/>
      <w:b/>
      <w:bCs/>
      <w:snapToGrid w:val="0"/>
      <w:szCs w:val="20"/>
      <w:lang w:eastAsia="pl-PL"/>
    </w:rPr>
  </w:style>
  <w:style w:type="character" w:customStyle="1" w:styleId="Aga21Znak">
    <w:name w:val="Aga2.1 Znak"/>
    <w:link w:val="Aga21"/>
    <w:rPr>
      <w:rFonts w:ascii="Verdana" w:eastAsia="Times New Roman" w:hAnsi="Verdana"/>
      <w:b/>
      <w:bCs/>
      <w:snapToGrid w:val="0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spacing w:after="0"/>
      <w:jc w:val="left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Pr>
      <w:rFonts w:ascii="Times New Roman" w:eastAsia="Times New Roman" w:hAnsi="Times New Roman"/>
      <w:snapToGrid w:val="0"/>
    </w:rPr>
  </w:style>
  <w:style w:type="paragraph" w:customStyle="1" w:styleId="Normalny1">
    <w:name w:val="Normalny1"/>
    <w:aliases w:val="tekst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  <w:jc w:val="left"/>
    </w:pPr>
    <w:rPr>
      <w:rFonts w:ascii="Calibri" w:hAnsi="Calibri" w:cs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klep.pkn.pl/?a=show&amp;m=product&amp;pid=476601&amp;page=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2009-04-15T00:00:00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0BDF9C-8496-4EBD-A525-2B5E5308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2715</Words>
  <Characters>16294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wyg</Company>
  <LinksUpToDate>false</LinksUpToDate>
  <CharactersWithSpaces>18972</CharactersWithSpaces>
  <SharedDoc>false</SharedDoc>
  <HLinks>
    <vt:vector size="6" baseType="variant">
      <vt:variant>
        <vt:i4>4390933</vt:i4>
      </vt:variant>
      <vt:variant>
        <vt:i4>12</vt:i4>
      </vt:variant>
      <vt:variant>
        <vt:i4>0</vt:i4>
      </vt:variant>
      <vt:variant>
        <vt:i4>5</vt:i4>
      </vt:variant>
      <vt:variant>
        <vt:lpwstr>https://sklep.pkn.pl/?a=show&amp;m=product&amp;pid=476601&amp;page=1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jkupiec</dc:creator>
  <cp:lastModifiedBy>Kuba</cp:lastModifiedBy>
  <cp:revision>29</cp:revision>
  <cp:lastPrinted>2023-06-13T18:31:00Z</cp:lastPrinted>
  <dcterms:created xsi:type="dcterms:W3CDTF">2018-10-26T11:08:00Z</dcterms:created>
  <dcterms:modified xsi:type="dcterms:W3CDTF">2025-05-11T15:34:00Z</dcterms:modified>
</cp:coreProperties>
</file>