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A5E69" w14:textId="77777777" w:rsidR="00717108" w:rsidRDefault="00717108" w:rsidP="00717108">
      <w:pPr>
        <w:pStyle w:val="Nagwek2"/>
        <w:jc w:val="both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M.19.01.04   PORĘCZE NA OBIEKTACH MOSTOWYCH</w:t>
      </w:r>
    </w:p>
    <w:p w14:paraId="0F1491CD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</w:p>
    <w:p w14:paraId="232A2D08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Wstęp</w:t>
      </w:r>
    </w:p>
    <w:p w14:paraId="240E514B" w14:textId="77777777" w:rsidR="00717108" w:rsidRDefault="00717108" w:rsidP="00717108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1.1.</w:t>
      </w:r>
      <w:r>
        <w:rPr>
          <w:rFonts w:ascii="Times New Roman" w:hAnsi="Times New Roman"/>
          <w:b/>
          <w:sz w:val="22"/>
          <w:lang w:val="pl-PL"/>
        </w:rPr>
        <w:tab/>
        <w:t>Przedmiot specyfikacji</w:t>
      </w:r>
    </w:p>
    <w:p w14:paraId="5451655D" w14:textId="64D1B4F0" w:rsidR="00717108" w:rsidRDefault="00717108" w:rsidP="00717108">
      <w:pPr>
        <w:pStyle w:val="Tekstpodstawowy2"/>
        <w:tabs>
          <w:tab w:val="left" w:pos="0"/>
          <w:tab w:val="right" w:pos="8953"/>
        </w:tabs>
      </w:pPr>
      <w:r>
        <w:t>Przedmiotem niniejszej Specyfikacji Technicznej są wymagania dotyczące wykonania i odbioru robót zwi</w:t>
      </w:r>
      <w:r>
        <w:t>ą</w:t>
      </w:r>
      <w:r>
        <w:t xml:space="preserve">zanych z wykonaniem i odbiorem poręczy przy : </w:t>
      </w:r>
      <w:r>
        <w:rPr>
          <w:spacing w:val="-3"/>
        </w:rPr>
        <w:t xml:space="preserve">przy : </w:t>
      </w:r>
      <w:r w:rsidRPr="00333BBC">
        <w:rPr>
          <w:szCs w:val="22"/>
          <w:u w:val="single"/>
        </w:rPr>
        <w:t>Remon</w:t>
      </w:r>
      <w:r>
        <w:rPr>
          <w:szCs w:val="22"/>
          <w:u w:val="single"/>
        </w:rPr>
        <w:t>cie</w:t>
      </w:r>
      <w:r w:rsidRPr="00333BBC">
        <w:rPr>
          <w:szCs w:val="22"/>
          <w:u w:val="single"/>
        </w:rPr>
        <w:t xml:space="preserve"> drogi powiatowej Nr 1 166R klasy „L” relacji Partynia </w:t>
      </w:r>
      <w:r>
        <w:rPr>
          <w:szCs w:val="22"/>
          <w:u w:val="single"/>
        </w:rPr>
        <w:t>–</w:t>
      </w:r>
      <w:r w:rsidRPr="00333BBC">
        <w:rPr>
          <w:szCs w:val="22"/>
          <w:u w:val="single"/>
        </w:rPr>
        <w:t xml:space="preserve"> Jamy</w:t>
      </w:r>
      <w:r>
        <w:rPr>
          <w:szCs w:val="22"/>
          <w:u w:val="single"/>
        </w:rPr>
        <w:t xml:space="preserve"> </w:t>
      </w:r>
      <w:r w:rsidRPr="00333BBC">
        <w:rPr>
          <w:szCs w:val="22"/>
          <w:u w:val="single"/>
        </w:rPr>
        <w:t>w km 4+300÷ 7+030 w m. Jamy</w:t>
      </w:r>
      <w:r>
        <w:rPr>
          <w:szCs w:val="22"/>
          <w:u w:val="single"/>
        </w:rPr>
        <w:t>.</w:t>
      </w:r>
    </w:p>
    <w:p w14:paraId="51AA86B0" w14:textId="77777777" w:rsidR="00717108" w:rsidRDefault="00717108" w:rsidP="00717108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1.2.</w:t>
      </w:r>
      <w:r>
        <w:rPr>
          <w:rFonts w:ascii="Times New Roman" w:hAnsi="Times New Roman"/>
          <w:b/>
          <w:sz w:val="22"/>
          <w:lang w:val="pl-PL"/>
        </w:rPr>
        <w:tab/>
        <w:t>Zakres stosowania ST.</w:t>
      </w:r>
    </w:p>
    <w:p w14:paraId="15FDE8FA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Specyfikacja techniczna jest stosowana jako dokument przetargowy i kontraktowy przy zlecaniu i realizacji Robót wymienionych w punkcie 1.1.</w:t>
      </w:r>
    </w:p>
    <w:p w14:paraId="48DF8CE5" w14:textId="77777777" w:rsidR="00717108" w:rsidRDefault="00717108" w:rsidP="00717108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1.3.</w:t>
      </w:r>
      <w:r>
        <w:rPr>
          <w:rFonts w:ascii="Times New Roman" w:hAnsi="Times New Roman"/>
          <w:b/>
          <w:sz w:val="22"/>
          <w:lang w:val="pl-PL"/>
        </w:rPr>
        <w:tab/>
        <w:t>Zakres robót objętych ST</w:t>
      </w:r>
    </w:p>
    <w:p w14:paraId="432D115F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Ustalenia zawarte w niniejszej specyfikacji dotyczą zasad prowadzenia robót związanych z :</w:t>
      </w:r>
    </w:p>
    <w:p w14:paraId="33003DBB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>SYMBOL 183 \f "Symbol" \s 10 \h</w:instrText>
      </w:r>
      <w:r>
        <w:rPr>
          <w:sz w:val="22"/>
        </w:rPr>
        <w:fldChar w:fldCharType="end"/>
      </w:r>
      <w:r>
        <w:rPr>
          <w:sz w:val="22"/>
        </w:rPr>
        <w:t xml:space="preserve"> </w:t>
      </w:r>
      <w:r>
        <w:rPr>
          <w:sz w:val="22"/>
        </w:rPr>
        <w:tab/>
        <w:t>dostarczeniem na budowę i zamontowaniem poręczy,</w:t>
      </w:r>
    </w:p>
    <w:p w14:paraId="2B4D0F11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>SYMBOL 183 \f "Symbol" \s 10 \h</w:instrText>
      </w:r>
      <w:r>
        <w:rPr>
          <w:sz w:val="22"/>
        </w:rPr>
        <w:fldChar w:fldCharType="end"/>
      </w:r>
      <w:r>
        <w:rPr>
          <w:sz w:val="22"/>
        </w:rPr>
        <w:t xml:space="preserve"> </w:t>
      </w:r>
      <w:r>
        <w:rPr>
          <w:sz w:val="22"/>
        </w:rPr>
        <w:tab/>
        <w:t>kontrolą jakości,</w:t>
      </w:r>
    </w:p>
    <w:p w14:paraId="4647DABD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zakresem swym obejmuje wymagania stawiane materiałom i wykonywanej pracy.</w:t>
      </w:r>
    </w:p>
    <w:p w14:paraId="4D9F5D26" w14:textId="77777777" w:rsidR="00717108" w:rsidRDefault="00717108" w:rsidP="00717108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1.4.</w:t>
      </w:r>
      <w:r>
        <w:rPr>
          <w:rFonts w:ascii="Times New Roman" w:hAnsi="Times New Roman"/>
          <w:b/>
          <w:sz w:val="22"/>
          <w:lang w:val="pl-PL"/>
        </w:rPr>
        <w:tab/>
        <w:t>Określenia podstawowe</w:t>
      </w:r>
    </w:p>
    <w:p w14:paraId="75C5687F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poręcz na obiekcie mostowym - ma na celu zabezpieczenie ruchu pieszego</w:t>
      </w:r>
    </w:p>
    <w:p w14:paraId="3146CD58" w14:textId="77777777" w:rsidR="00717108" w:rsidRDefault="00717108" w:rsidP="00717108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1.5.</w:t>
      </w:r>
      <w:r>
        <w:rPr>
          <w:rFonts w:ascii="Times New Roman" w:hAnsi="Times New Roman"/>
          <w:b/>
          <w:sz w:val="22"/>
          <w:lang w:val="pl-PL"/>
        </w:rPr>
        <w:tab/>
        <w:t>Ogólne wymagania dotyczące robót</w:t>
      </w:r>
    </w:p>
    <w:p w14:paraId="04407087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Wykonawca jest odpowiedzialny za jakość stosowanych materiałów i wykonywanych robót oraz za ich zgo</w:t>
      </w:r>
      <w:r>
        <w:rPr>
          <w:sz w:val="22"/>
        </w:rPr>
        <w:t>d</w:t>
      </w:r>
      <w:r>
        <w:rPr>
          <w:sz w:val="22"/>
        </w:rPr>
        <w:t>ność z Dokumentacją Projektową, Specyfikacją Techniczną oraz zaleceniami Inżyniera.</w:t>
      </w:r>
    </w:p>
    <w:p w14:paraId="3729B06D" w14:textId="77777777" w:rsidR="00717108" w:rsidRDefault="00717108" w:rsidP="00717108">
      <w:pPr>
        <w:jc w:val="both"/>
        <w:rPr>
          <w:sz w:val="22"/>
        </w:rPr>
      </w:pPr>
    </w:p>
    <w:p w14:paraId="55622714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>Materiały</w:t>
      </w:r>
    </w:p>
    <w:p w14:paraId="3182102B" w14:textId="77777777" w:rsidR="00717108" w:rsidRPr="00FB4809" w:rsidRDefault="00717108" w:rsidP="00717108">
      <w:pPr>
        <w:pStyle w:val="Nagwek3"/>
        <w:spacing w:before="0" w:after="0"/>
        <w:jc w:val="both"/>
        <w:rPr>
          <w:b w:val="0"/>
          <w:sz w:val="22"/>
          <w:szCs w:val="22"/>
        </w:rPr>
      </w:pPr>
      <w:r w:rsidRPr="00FB4809">
        <w:rPr>
          <w:b w:val="0"/>
          <w:sz w:val="22"/>
          <w:szCs w:val="22"/>
        </w:rPr>
        <w:t>Elementy poręczy powinny być wykonane ze stali St3S wg PN-H-84020</w:t>
      </w:r>
      <w:r>
        <w:rPr>
          <w:b w:val="0"/>
          <w:sz w:val="22"/>
          <w:szCs w:val="22"/>
        </w:rPr>
        <w:t>.</w:t>
      </w:r>
    </w:p>
    <w:p w14:paraId="65B31CA8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</w:p>
    <w:p w14:paraId="235F4D79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  <w:t>Sprzęt</w:t>
      </w:r>
    </w:p>
    <w:p w14:paraId="1A2BD8C7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Wybór sprzętu i narzędzi służących do montażu poręczy pozostawia się  Wykonawcy.</w:t>
      </w:r>
    </w:p>
    <w:p w14:paraId="1F27F827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Użyty przez Wykonawcę sprzęt lub narzędzia powinny zapewniać ciągłość wykonywanych robót i w</w:t>
      </w:r>
      <w:r>
        <w:rPr>
          <w:sz w:val="22"/>
        </w:rPr>
        <w:t>y</w:t>
      </w:r>
      <w:r>
        <w:rPr>
          <w:sz w:val="22"/>
        </w:rPr>
        <w:t>maganą ich jakość. O ile rodzaj, stan techniczny lub parametry robocze użytego sprzętu lub narzędzia nie zapewnia bezawaryjnego prowadzenia robót lub uzyskania wymaganej ich jakości Inżynier może zażądać od Wyk</w:t>
      </w:r>
      <w:r>
        <w:rPr>
          <w:sz w:val="22"/>
        </w:rPr>
        <w:t>o</w:t>
      </w:r>
      <w:r>
        <w:rPr>
          <w:sz w:val="22"/>
        </w:rPr>
        <w:t>nawcy zmiany tego sprzętu lub narzędzia.</w:t>
      </w:r>
    </w:p>
    <w:p w14:paraId="5B67A9F0" w14:textId="77777777" w:rsidR="00717108" w:rsidRDefault="00717108" w:rsidP="00717108">
      <w:pPr>
        <w:jc w:val="both"/>
        <w:rPr>
          <w:sz w:val="22"/>
        </w:rPr>
      </w:pPr>
    </w:p>
    <w:p w14:paraId="32EF37C0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4.</w:t>
      </w:r>
      <w:r>
        <w:rPr>
          <w:sz w:val="22"/>
        </w:rPr>
        <w:tab/>
        <w:t>Transport</w:t>
      </w:r>
    </w:p>
    <w:p w14:paraId="1E3A993E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Załadunek, transport, rozładunek i składowanie elementów poręczy powinny odbywać się tak aby z</w:t>
      </w:r>
      <w:r>
        <w:rPr>
          <w:sz w:val="22"/>
        </w:rPr>
        <w:t>a</w:t>
      </w:r>
      <w:r>
        <w:rPr>
          <w:sz w:val="22"/>
        </w:rPr>
        <w:t>chować ich dobry stan techniczny a w szczególności zabezpieczyć możliwość uszkodzenia powłoki antykorozyjnej i pogi</w:t>
      </w:r>
      <w:r>
        <w:rPr>
          <w:sz w:val="22"/>
        </w:rPr>
        <w:t>ę</w:t>
      </w:r>
      <w:r>
        <w:rPr>
          <w:sz w:val="22"/>
        </w:rPr>
        <w:t>cia elementów poręczy.</w:t>
      </w:r>
    </w:p>
    <w:p w14:paraId="4915A6DB" w14:textId="77777777" w:rsidR="00717108" w:rsidRDefault="00717108" w:rsidP="00717108">
      <w:pPr>
        <w:pStyle w:val="Nagwek3"/>
        <w:spacing w:before="0" w:after="0"/>
        <w:jc w:val="both"/>
        <w:rPr>
          <w:b w:val="0"/>
          <w:sz w:val="22"/>
        </w:rPr>
      </w:pPr>
    </w:p>
    <w:p w14:paraId="5EAEF666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5.</w:t>
      </w:r>
      <w:r>
        <w:rPr>
          <w:sz w:val="22"/>
        </w:rPr>
        <w:tab/>
        <w:t>Wykonanie robót</w:t>
      </w:r>
    </w:p>
    <w:p w14:paraId="792F94E5" w14:textId="77777777" w:rsidR="00717108" w:rsidRDefault="00717108" w:rsidP="00717108">
      <w:pPr>
        <w:tabs>
          <w:tab w:val="decimal" w:pos="720"/>
        </w:tabs>
        <w:jc w:val="both"/>
        <w:rPr>
          <w:sz w:val="22"/>
        </w:rPr>
      </w:pPr>
      <w:r>
        <w:rPr>
          <w:sz w:val="22"/>
        </w:rPr>
        <w:t>Poręcze stalowe należy wykonać wg rysunku z Projektu Technicznego, zachowując tolerancja wykonania el</w:t>
      </w:r>
      <w:r>
        <w:rPr>
          <w:sz w:val="22"/>
        </w:rPr>
        <w:t>e</w:t>
      </w:r>
      <w:r>
        <w:rPr>
          <w:sz w:val="22"/>
        </w:rPr>
        <w:t xml:space="preserve">mentów bariery  </w:t>
      </w:r>
      <w:r>
        <w:rPr>
          <w:sz w:val="22"/>
        </w:rPr>
        <w:sym w:font="Symbol" w:char="F0B1"/>
      </w:r>
      <w:r>
        <w:rPr>
          <w:sz w:val="22"/>
        </w:rPr>
        <w:t xml:space="preserve"> 2 mm.</w:t>
      </w:r>
    </w:p>
    <w:p w14:paraId="31702056" w14:textId="77777777" w:rsidR="00717108" w:rsidRDefault="00717108" w:rsidP="00717108">
      <w:pPr>
        <w:tabs>
          <w:tab w:val="decimal" w:pos="720"/>
        </w:tabs>
        <w:jc w:val="both"/>
        <w:rPr>
          <w:sz w:val="22"/>
        </w:rPr>
      </w:pPr>
      <w:r>
        <w:rPr>
          <w:sz w:val="22"/>
        </w:rPr>
        <w:t>Po wykonaniu poręcz należy oczyścić strumieniowo do stopnia czystości i zabezpieczyć antykorozyjnie z</w:t>
      </w:r>
      <w:r>
        <w:rPr>
          <w:sz w:val="22"/>
        </w:rPr>
        <w:t>e</w:t>
      </w:r>
      <w:r>
        <w:rPr>
          <w:sz w:val="22"/>
        </w:rPr>
        <w:t xml:space="preserve">stawem malarskim mającym Aprobatę Techniczną </w:t>
      </w:r>
      <w:proofErr w:type="spellStart"/>
      <w:r>
        <w:rPr>
          <w:sz w:val="22"/>
        </w:rPr>
        <w:t>IBDiM</w:t>
      </w:r>
      <w:proofErr w:type="spellEnd"/>
      <w:r>
        <w:rPr>
          <w:sz w:val="22"/>
        </w:rPr>
        <w:t>. Grubość powłoki malarskiej należy przyjmować wg zaleceń producenta zestawu dla środowiska agresywnego.</w:t>
      </w:r>
    </w:p>
    <w:p w14:paraId="3595428F" w14:textId="77777777" w:rsidR="00717108" w:rsidRDefault="00717108" w:rsidP="00717108">
      <w:pPr>
        <w:tabs>
          <w:tab w:val="decimal" w:pos="720"/>
        </w:tabs>
        <w:jc w:val="both"/>
        <w:rPr>
          <w:sz w:val="22"/>
        </w:rPr>
      </w:pPr>
      <w:r>
        <w:rPr>
          <w:sz w:val="22"/>
        </w:rPr>
        <w:t>Poręcz należy zamocować w kapie chodnikowej do marek uprzednio zabetonowanych we wsporniku chodn</w:t>
      </w:r>
      <w:r>
        <w:rPr>
          <w:sz w:val="22"/>
        </w:rPr>
        <w:t>i</w:t>
      </w:r>
      <w:r>
        <w:rPr>
          <w:sz w:val="22"/>
        </w:rPr>
        <w:t>kowym. Po zamocowaniu poręczy Wykonawca jest zobowiązany do uzupełnienia wszystkich uszkodzeń z</w:t>
      </w:r>
      <w:r>
        <w:rPr>
          <w:sz w:val="22"/>
        </w:rPr>
        <w:t>a</w:t>
      </w:r>
      <w:r>
        <w:rPr>
          <w:sz w:val="22"/>
        </w:rPr>
        <w:t>bezpi</w:t>
      </w:r>
      <w:r>
        <w:rPr>
          <w:sz w:val="22"/>
        </w:rPr>
        <w:t>e</w:t>
      </w:r>
      <w:r>
        <w:rPr>
          <w:sz w:val="22"/>
        </w:rPr>
        <w:t>czenia antykorozyjnego powstałych w czasie transportu i montażu.</w:t>
      </w:r>
    </w:p>
    <w:p w14:paraId="3A272E15" w14:textId="77777777" w:rsidR="00717108" w:rsidRDefault="00717108" w:rsidP="00717108">
      <w:pPr>
        <w:tabs>
          <w:tab w:val="decimal" w:pos="720"/>
        </w:tabs>
        <w:jc w:val="both"/>
        <w:rPr>
          <w:sz w:val="22"/>
        </w:rPr>
      </w:pPr>
      <w:r>
        <w:rPr>
          <w:sz w:val="22"/>
        </w:rPr>
        <w:t>Adaptacja istniejących poręczy polega na:</w:t>
      </w:r>
    </w:p>
    <w:p w14:paraId="0C1FB612" w14:textId="77777777" w:rsidR="00717108" w:rsidRDefault="00717108" w:rsidP="00717108">
      <w:pPr>
        <w:numPr>
          <w:ilvl w:val="0"/>
          <w:numId w:val="2"/>
        </w:numPr>
        <w:tabs>
          <w:tab w:val="decimal" w:pos="720"/>
        </w:tabs>
        <w:jc w:val="both"/>
        <w:rPr>
          <w:sz w:val="22"/>
        </w:rPr>
      </w:pPr>
      <w:r>
        <w:rPr>
          <w:sz w:val="22"/>
        </w:rPr>
        <w:t>przedłużeniu słupków za pomocą wstawek z dwuteownika NP 80 długości L=135 mm,</w:t>
      </w:r>
    </w:p>
    <w:p w14:paraId="37988D3B" w14:textId="77777777" w:rsidR="00717108" w:rsidRDefault="00717108" w:rsidP="00717108">
      <w:pPr>
        <w:numPr>
          <w:ilvl w:val="0"/>
          <w:numId w:val="2"/>
        </w:numPr>
        <w:tabs>
          <w:tab w:val="decimal" w:pos="720"/>
        </w:tabs>
        <w:jc w:val="both"/>
        <w:rPr>
          <w:sz w:val="22"/>
        </w:rPr>
      </w:pPr>
      <w:r>
        <w:rPr>
          <w:sz w:val="22"/>
        </w:rPr>
        <w:t xml:space="preserve">wykonanie dodatkowego przeciągu z kątownika </w:t>
      </w:r>
      <w:r>
        <w:rPr>
          <w:sz w:val="22"/>
        </w:rPr>
        <w:sym w:font="Technic" w:char="F04C"/>
      </w:r>
      <w:r>
        <w:rPr>
          <w:sz w:val="22"/>
        </w:rPr>
        <w:t>45x45x5,</w:t>
      </w:r>
    </w:p>
    <w:p w14:paraId="726EEF37" w14:textId="77777777" w:rsidR="00717108" w:rsidRDefault="00717108" w:rsidP="00717108">
      <w:pPr>
        <w:numPr>
          <w:ilvl w:val="0"/>
          <w:numId w:val="2"/>
        </w:numPr>
        <w:tabs>
          <w:tab w:val="decimal" w:pos="720"/>
        </w:tabs>
        <w:jc w:val="both"/>
        <w:rPr>
          <w:sz w:val="22"/>
        </w:rPr>
      </w:pPr>
      <w:r>
        <w:rPr>
          <w:sz w:val="22"/>
        </w:rPr>
        <w:t xml:space="preserve">wymianie skorodowanych fragmentów pochwytu z zastosowaniem ceownik </w:t>
      </w:r>
      <w:r>
        <w:rPr>
          <w:sz w:val="22"/>
        </w:rPr>
        <w:sym w:font="Technic" w:char="F05B"/>
      </w:r>
      <w:r>
        <w:rPr>
          <w:sz w:val="22"/>
        </w:rPr>
        <w:t>80.</w:t>
      </w:r>
    </w:p>
    <w:p w14:paraId="24DC0891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</w:p>
    <w:p w14:paraId="2841789F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6.</w:t>
      </w:r>
      <w:r>
        <w:rPr>
          <w:sz w:val="22"/>
        </w:rPr>
        <w:tab/>
        <w:t>Kontrola jakości robót</w:t>
      </w:r>
    </w:p>
    <w:p w14:paraId="72BD2C59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Odbiorowi podlegają: wykonanie wraz z zabezpieczeniem antykorozyjnym poręczy, zamocowanie por</w:t>
      </w:r>
      <w:r>
        <w:rPr>
          <w:sz w:val="22"/>
        </w:rPr>
        <w:t>ę</w:t>
      </w:r>
      <w:r>
        <w:rPr>
          <w:sz w:val="22"/>
        </w:rPr>
        <w:t>czy oraz odbiór powłoki zabezpieczenia antykorozyjnego.</w:t>
      </w:r>
    </w:p>
    <w:p w14:paraId="5E5B4233" w14:textId="77777777" w:rsidR="00717108" w:rsidRDefault="00717108" w:rsidP="00717108">
      <w:pPr>
        <w:pStyle w:val="Nagwek3"/>
        <w:spacing w:before="0" w:after="0"/>
        <w:jc w:val="both"/>
        <w:rPr>
          <w:b w:val="0"/>
          <w:sz w:val="22"/>
        </w:rPr>
      </w:pPr>
    </w:p>
    <w:p w14:paraId="6E077FB5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7.</w:t>
      </w:r>
      <w:r>
        <w:rPr>
          <w:sz w:val="22"/>
        </w:rPr>
        <w:tab/>
        <w:t>Obmiar</w:t>
      </w:r>
    </w:p>
    <w:p w14:paraId="30BB3326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Jednostką obmiaru jest 1 m bieżący wykonanej i zainstalowanej poręczy o określonych w projekcie param</w:t>
      </w:r>
      <w:r>
        <w:rPr>
          <w:sz w:val="22"/>
        </w:rPr>
        <w:t>e</w:t>
      </w:r>
      <w:r>
        <w:rPr>
          <w:sz w:val="22"/>
        </w:rPr>
        <w:t xml:space="preserve">trach. </w:t>
      </w:r>
    </w:p>
    <w:p w14:paraId="18A5FDF7" w14:textId="77777777" w:rsidR="00717108" w:rsidRDefault="00717108" w:rsidP="00717108">
      <w:pPr>
        <w:pStyle w:val="Nagwek3"/>
        <w:spacing w:before="0" w:after="0"/>
        <w:jc w:val="both"/>
        <w:rPr>
          <w:b w:val="0"/>
          <w:sz w:val="22"/>
        </w:rPr>
      </w:pPr>
    </w:p>
    <w:p w14:paraId="330CB94F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8.</w:t>
      </w:r>
      <w:r>
        <w:rPr>
          <w:sz w:val="22"/>
        </w:rPr>
        <w:tab/>
        <w:t>Odbiór końcowy</w:t>
      </w:r>
    </w:p>
    <w:p w14:paraId="0A2DD79B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Odbiorowi podlegają:</w:t>
      </w:r>
    </w:p>
    <w:p w14:paraId="1BB508DD" w14:textId="77777777" w:rsidR="00717108" w:rsidRDefault="00717108" w:rsidP="00717108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roboty przygotowawcze (osadzenie marek) umożliwiające montaż poręczy na obiekcie (odbiór międzyop</w:t>
      </w:r>
      <w:r>
        <w:rPr>
          <w:sz w:val="22"/>
        </w:rPr>
        <w:t>e</w:t>
      </w:r>
      <w:r>
        <w:rPr>
          <w:sz w:val="22"/>
        </w:rPr>
        <w:t>racyjny),</w:t>
      </w:r>
    </w:p>
    <w:p w14:paraId="0B21B891" w14:textId="77777777" w:rsidR="00717108" w:rsidRDefault="00717108" w:rsidP="00717108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roboty objęte umową po ich całkowitym zakończeniu (odbiór końcowy).</w:t>
      </w:r>
    </w:p>
    <w:p w14:paraId="27B24195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Podstawą odbioru międzyoperacyjnego jest pisemne stwierdzenie Inżyniera w dzienniku budowy o wykon</w:t>
      </w:r>
      <w:r>
        <w:rPr>
          <w:sz w:val="22"/>
        </w:rPr>
        <w:t>a</w:t>
      </w:r>
      <w:r>
        <w:rPr>
          <w:sz w:val="22"/>
        </w:rPr>
        <w:t>niu robót przygotowawczych zgodnie z Dokumentacją Projektową, wymaganiami zawartymi w ST oraz w</w:t>
      </w:r>
      <w:r>
        <w:rPr>
          <w:sz w:val="22"/>
        </w:rPr>
        <w:t>y</w:t>
      </w:r>
      <w:r>
        <w:rPr>
          <w:sz w:val="22"/>
        </w:rPr>
        <w:t>rażenie zgody na przystąpienie przez Wykonawcę do realizacji kolejnej fazy robót.</w:t>
      </w:r>
    </w:p>
    <w:p w14:paraId="7C8ABFBA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Podstawą odbioru końcowego jest pisemne stwierdzenie przez Inżyniera w Dzienniku Budowy zako</w:t>
      </w:r>
      <w:r>
        <w:rPr>
          <w:sz w:val="22"/>
        </w:rPr>
        <w:t>ń</w:t>
      </w:r>
      <w:r>
        <w:rPr>
          <w:sz w:val="22"/>
        </w:rPr>
        <w:t>czenia wszystkich robót związanych z montażem poręczy, a także spełnienia wymagań określonych w projekcie tec</w:t>
      </w:r>
      <w:r>
        <w:rPr>
          <w:sz w:val="22"/>
        </w:rPr>
        <w:t>h</w:t>
      </w:r>
      <w:r>
        <w:rPr>
          <w:sz w:val="22"/>
        </w:rPr>
        <w:t>nicznym i ST.</w:t>
      </w:r>
    </w:p>
    <w:p w14:paraId="71EA3129" w14:textId="77777777" w:rsidR="00717108" w:rsidRDefault="00717108" w:rsidP="00717108">
      <w:pPr>
        <w:jc w:val="both"/>
        <w:rPr>
          <w:sz w:val="22"/>
        </w:rPr>
      </w:pPr>
    </w:p>
    <w:p w14:paraId="406CF5FE" w14:textId="77777777" w:rsidR="00717108" w:rsidRDefault="00717108" w:rsidP="00717108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9.</w:t>
      </w:r>
      <w:r>
        <w:rPr>
          <w:sz w:val="22"/>
        </w:rPr>
        <w:tab/>
        <w:t>Płatność</w:t>
      </w:r>
    </w:p>
    <w:p w14:paraId="2F25F41B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Cena jednostkowa za 1 m poręczy uwzględnia zapewnienie niezbędnych czynników produkcji, wykon</w:t>
      </w:r>
      <w:r>
        <w:rPr>
          <w:sz w:val="22"/>
        </w:rPr>
        <w:t>a</w:t>
      </w:r>
      <w:r>
        <w:rPr>
          <w:sz w:val="22"/>
        </w:rPr>
        <w:t>nie lub zakup, transport na obiekt mostowy, montaż poręczy wraz z zamocowaniem śrub kotwiących oraz wykon</w:t>
      </w:r>
      <w:r>
        <w:rPr>
          <w:sz w:val="22"/>
        </w:rPr>
        <w:t>a</w:t>
      </w:r>
      <w:r>
        <w:rPr>
          <w:sz w:val="22"/>
        </w:rPr>
        <w:t xml:space="preserve">niem zabezpieczenia antykorozyjnego, oczyszczenie terenu budowy po zakończeniu roboty. </w:t>
      </w:r>
    </w:p>
    <w:p w14:paraId="5E1279B0" w14:textId="77777777" w:rsidR="00717108" w:rsidRDefault="00717108" w:rsidP="00717108">
      <w:pPr>
        <w:jc w:val="both"/>
        <w:rPr>
          <w:sz w:val="22"/>
        </w:rPr>
      </w:pPr>
    </w:p>
    <w:p w14:paraId="05D33287" w14:textId="77777777" w:rsidR="00717108" w:rsidRDefault="00717108" w:rsidP="00717108">
      <w:pPr>
        <w:jc w:val="both"/>
        <w:rPr>
          <w:b/>
          <w:sz w:val="22"/>
        </w:rPr>
      </w:pPr>
      <w:r>
        <w:rPr>
          <w:b/>
          <w:sz w:val="22"/>
        </w:rPr>
        <w:t>10.</w:t>
      </w:r>
      <w:r>
        <w:rPr>
          <w:b/>
          <w:sz w:val="22"/>
        </w:rPr>
        <w:tab/>
        <w:t>Przepisy związane</w:t>
      </w:r>
    </w:p>
    <w:p w14:paraId="12461380" w14:textId="77777777" w:rsidR="00717108" w:rsidRDefault="00717108" w:rsidP="00717108">
      <w:pPr>
        <w:jc w:val="both"/>
        <w:rPr>
          <w:sz w:val="22"/>
        </w:rPr>
      </w:pPr>
      <w:r>
        <w:rPr>
          <w:sz w:val="22"/>
        </w:rPr>
        <w:t>Brak</w:t>
      </w:r>
    </w:p>
    <w:p w14:paraId="1D92DFA3" w14:textId="4ECB3B14" w:rsidR="00C142CE" w:rsidRDefault="00C142CE" w:rsidP="00717108"/>
    <w:sectPr w:rsidR="00C14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ourier New">
    <w:altName w:val="Courier New"/>
    <w:charset w:val="00"/>
    <w:family w:val="modern"/>
    <w:pitch w:val="fixed"/>
    <w:sig w:usb0="00000003" w:usb1="00000000" w:usb2="00000000" w:usb3="00000000" w:csb0="00000001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2957052"/>
    <w:multiLevelType w:val="multilevel"/>
    <w:tmpl w:val="4AB69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82901035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055349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210"/>
    <w:rsid w:val="00195DA6"/>
    <w:rsid w:val="00384AAC"/>
    <w:rsid w:val="003D257C"/>
    <w:rsid w:val="00717108"/>
    <w:rsid w:val="00990210"/>
    <w:rsid w:val="00C142CE"/>
    <w:rsid w:val="00DA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501A"/>
  <w15:chartTrackingRefBased/>
  <w15:docId w15:val="{AC1ECABA-3AD0-4896-9D9F-D9C1FE57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71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717108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link w:val="Nagwek3Znak"/>
    <w:qFormat/>
    <w:rsid w:val="00717108"/>
    <w:pPr>
      <w:keepNext/>
      <w:spacing w:before="240" w:after="60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717108"/>
    <w:pPr>
      <w:keepNext/>
      <w:keepLines/>
      <w:spacing w:before="120" w:line="240" w:lineRule="atLeast"/>
      <w:ind w:left="567" w:hanging="567"/>
      <w:jc w:val="both"/>
      <w:outlineLvl w:val="3"/>
    </w:pPr>
    <w:rPr>
      <w:rFonts w:ascii="PL Courier New" w:hAnsi="PL Courier New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7108"/>
    <w:rPr>
      <w:rFonts w:ascii="Arial" w:eastAsia="Times New Roman" w:hAnsi="Arial" w:cs="Times New Roman"/>
      <w:b/>
      <w:i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717108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717108"/>
    <w:rPr>
      <w:rFonts w:ascii="PL Courier New" w:eastAsia="Times New Roman" w:hAnsi="PL Courier New" w:cs="Times New Roman"/>
      <w:kern w:val="0"/>
      <w:sz w:val="20"/>
      <w:szCs w:val="20"/>
      <w:lang w:val="en-GB" w:eastAsia="pl-PL"/>
      <w14:ligatures w14:val="none"/>
    </w:rPr>
  </w:style>
  <w:style w:type="paragraph" w:styleId="Tekstpodstawowy2">
    <w:name w:val="Body Text 2"/>
    <w:basedOn w:val="Normalny"/>
    <w:link w:val="Tekstpodstawowy2Znak"/>
    <w:rsid w:val="00717108"/>
    <w:pPr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71710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Wcicienormalne">
    <w:name w:val="Normal Indent"/>
    <w:basedOn w:val="Normalny"/>
    <w:uiPriority w:val="99"/>
    <w:semiHidden/>
    <w:unhideWhenUsed/>
    <w:rsid w:val="0071710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595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WIESLAW.SOLTYS</dc:creator>
  <cp:keywords/>
  <dc:description/>
  <cp:lastModifiedBy>WIESLAW.SOLTYS</cp:lastModifiedBy>
  <cp:revision>2</cp:revision>
  <dcterms:created xsi:type="dcterms:W3CDTF">2023-08-03T10:48:00Z</dcterms:created>
  <dcterms:modified xsi:type="dcterms:W3CDTF">2023-08-03T10:54:00Z</dcterms:modified>
</cp:coreProperties>
</file>