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1E8816A9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276EAB">
        <w:rPr>
          <w:sz w:val="24"/>
          <w:szCs w:val="24"/>
        </w:rPr>
        <w:t>58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97" w:tblpY="36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805DD" w:rsidRPr="00BD1CD1" w14:paraId="39830233" w14:textId="77777777" w:rsidTr="00723B5B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723B5B">
        <w:trPr>
          <w:trHeight w:val="132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29E8" w14:textId="77777777" w:rsidR="00276EAB" w:rsidRPr="00276EAB" w:rsidRDefault="00276EAB" w:rsidP="00276E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76EAB">
              <w:rPr>
                <w:rFonts w:ascii="Times New Roman" w:hAnsi="Times New Roman"/>
                <w:b/>
                <w:sz w:val="24"/>
              </w:rPr>
              <w:t xml:space="preserve">Wykonanie </w:t>
            </w:r>
            <w:bookmarkStart w:id="0" w:name="_Hlk55466412"/>
            <w:bookmarkStart w:id="1" w:name="_Hlk55466383"/>
            <w:r w:rsidRPr="00276EAB">
              <w:rPr>
                <w:rFonts w:ascii="Times New Roman" w:hAnsi="Times New Roman"/>
                <w:b/>
                <w:sz w:val="24"/>
              </w:rPr>
              <w:t>projektu technicznego</w:t>
            </w:r>
            <w:bookmarkEnd w:id="0"/>
          </w:p>
          <w:p w14:paraId="5783A80F" w14:textId="77777777" w:rsidR="00276EAB" w:rsidRPr="00276EAB" w:rsidRDefault="00276EAB" w:rsidP="00276E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2" w:name="_Hlk55466461"/>
            <w:r w:rsidRPr="00276EAB">
              <w:rPr>
                <w:rFonts w:ascii="Times New Roman" w:hAnsi="Times New Roman"/>
                <w:b/>
                <w:sz w:val="24"/>
              </w:rPr>
              <w:t xml:space="preserve">dla poprawy dostępności komunikacyjnej i bezpieczeństwa ruchu </w:t>
            </w:r>
          </w:p>
          <w:p w14:paraId="05BE9353" w14:textId="70D32E2C" w:rsidR="00C805DD" w:rsidRPr="009B4D41" w:rsidRDefault="00276EAB" w:rsidP="00276EAB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6EAB">
              <w:rPr>
                <w:rFonts w:ascii="Times New Roman" w:hAnsi="Times New Roman"/>
                <w:b/>
                <w:sz w:val="24"/>
              </w:rPr>
              <w:t>poprzez przebudowę drogi powiatowej Nr 1 152R relacji Borowa – Czermin – Wola Mieleck</w:t>
            </w:r>
            <w:bookmarkEnd w:id="2"/>
            <w:r w:rsidRPr="00276EAB">
              <w:rPr>
                <w:rFonts w:ascii="Times New Roman" w:hAnsi="Times New Roman"/>
                <w:b/>
                <w:sz w:val="24"/>
              </w:rPr>
              <w:t xml:space="preserve">a </w:t>
            </w:r>
            <w:bookmarkStart w:id="3" w:name="_Hlk55466517"/>
            <w:r w:rsidRPr="00276EAB">
              <w:rPr>
                <w:rFonts w:ascii="Times New Roman" w:hAnsi="Times New Roman"/>
                <w:b/>
                <w:sz w:val="24"/>
              </w:rPr>
              <w:t>– Kiełków – Przecław w km 21+540 – 22+900 w m. Kiełków</w:t>
            </w:r>
            <w:bookmarkEnd w:id="1"/>
            <w:bookmarkEnd w:id="3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723B5B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723B5B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723B5B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276EA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723B5B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723B5B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7B870B1E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276EAB">
              <w:rPr>
                <w:rFonts w:ascii="Times New Roman" w:hAnsi="Times New Roman"/>
                <w:sz w:val="24"/>
                <w:szCs w:val="24"/>
              </w:rPr>
              <w:t>listopad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254AF60B" w:rsidR="009D71B7" w:rsidRPr="007E6F93" w:rsidRDefault="009D71B7" w:rsidP="00276EAB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</w:t>
      </w:r>
      <w:r w:rsidR="00190743">
        <w:t>4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7BB1D03C" w:rsidR="007B0635" w:rsidRPr="00EF023A" w:rsidRDefault="009D71B7" w:rsidP="003140D6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106E22" w:rsidRPr="003140D6">
        <w:rPr>
          <w:b/>
          <w:bCs/>
        </w:rPr>
        <w:t xml:space="preserve">Wykonanie </w:t>
      </w:r>
      <w:r w:rsidR="00276EAB" w:rsidRPr="003140D6">
        <w:rPr>
          <w:b/>
          <w:bCs/>
        </w:rPr>
        <w:t>projektu technicznego dla poprawy dostępności komunikacyjnej                            i bezpieczeństwa ruchu poprzez przebudowę drogi powiatowej Nr 1 152R relacji Borowa – Czermin – Wola Mielecka</w:t>
      </w:r>
      <w:r w:rsidR="00106E22" w:rsidRPr="003140D6">
        <w:rPr>
          <w:b/>
          <w:bCs/>
        </w:rPr>
        <w:t xml:space="preserve"> </w:t>
      </w:r>
      <w:r w:rsidR="00276EAB" w:rsidRPr="003140D6">
        <w:rPr>
          <w:b/>
          <w:bCs/>
        </w:rPr>
        <w:t>– Kiełków – Przecław w km 21+540 – 22+900 w m. Kiełków</w:t>
      </w:r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276EAB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276EAB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276EAB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</w:t>
      </w:r>
      <w:r w:rsidRPr="00361BEB">
        <w:lastRenderedPageBreak/>
        <w:t>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276EAB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276EAB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276EAB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276EAB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276EAB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4" w:name="_Ref477400015"/>
      <w:r>
        <w:lastRenderedPageBreak/>
        <w:t>Odbiory.</w:t>
      </w:r>
      <w:bookmarkEnd w:id="4"/>
    </w:p>
    <w:p w14:paraId="67E55513" w14:textId="4F8DB728" w:rsidR="003A347D" w:rsidRPr="003A347D" w:rsidRDefault="007336B6" w:rsidP="00276EAB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276EAB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276EAB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276EAB">
      <w:pPr>
        <w:pStyle w:val="Nagwek2"/>
      </w:pPr>
      <w:bookmarkStart w:id="5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5"/>
    </w:p>
    <w:p w14:paraId="368DAEB8" w14:textId="69C0497B" w:rsidR="003A347D" w:rsidRPr="003A347D" w:rsidRDefault="003A347D" w:rsidP="00276EAB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276EAB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276EAB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276EAB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276EAB">
      <w:pPr>
        <w:pStyle w:val="Nagwek2"/>
      </w:pPr>
      <w:bookmarkStart w:id="6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6"/>
    </w:p>
    <w:p w14:paraId="6DC51ECC" w14:textId="64472825" w:rsidR="009D71B7" w:rsidRDefault="00EE7530" w:rsidP="00276EAB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276EAB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276EAB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276EAB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276EAB">
      <w:pPr>
        <w:pStyle w:val="Nagwek2"/>
        <w:numPr>
          <w:ilvl w:val="0"/>
          <w:numId w:val="0"/>
        </w:numPr>
        <w:ind w:left="708"/>
      </w:pPr>
      <w:r w:rsidRPr="00843E12"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276EAB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276EAB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276EAB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276EAB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276EAB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276EAB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276EAB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276EAB">
      <w:pPr>
        <w:pStyle w:val="Nagwek2"/>
      </w:pPr>
      <w:bookmarkStart w:id="7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7"/>
    </w:p>
    <w:p w14:paraId="299314EA" w14:textId="689F9C3E" w:rsidR="009D71B7" w:rsidRDefault="009D71B7" w:rsidP="00276EAB">
      <w:pPr>
        <w:pStyle w:val="Nagwek2"/>
      </w:pPr>
      <w:bookmarkStart w:id="8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8"/>
    </w:p>
    <w:p w14:paraId="0A962110" w14:textId="3B488BEC" w:rsidR="009D71B7" w:rsidRDefault="009D71B7" w:rsidP="00276EAB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276EAB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276EAB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276EAB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276EAB">
      <w:pPr>
        <w:pStyle w:val="Nagwek2"/>
      </w:pPr>
      <w:bookmarkStart w:id="9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9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276EAB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276EAB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276EAB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276EAB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276EAB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276EAB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276EAB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276EAB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276EAB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276EAB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276EAB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276EAB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276EAB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276EAB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276EAB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276EAB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276EAB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276EAB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276EAB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276EAB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276EAB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276EAB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276EAB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276EAB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276EAB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276EAB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276EAB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276EAB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09307" w14:textId="77777777" w:rsidR="00951E8B" w:rsidRDefault="00951E8B" w:rsidP="00346DDB">
      <w:r>
        <w:separator/>
      </w:r>
    </w:p>
  </w:endnote>
  <w:endnote w:type="continuationSeparator" w:id="0">
    <w:p w14:paraId="354FB139" w14:textId="77777777" w:rsidR="00951E8B" w:rsidRDefault="00951E8B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4CF03" w14:textId="77777777" w:rsidR="00951E8B" w:rsidRDefault="00951E8B" w:rsidP="00346DDB">
      <w:r>
        <w:separator/>
      </w:r>
    </w:p>
  </w:footnote>
  <w:footnote w:type="continuationSeparator" w:id="0">
    <w:p w14:paraId="5C30315A" w14:textId="77777777" w:rsidR="00951E8B" w:rsidRDefault="00951E8B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C332E32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140D6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276EAB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76EAB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4691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51</cp:revision>
  <cp:lastPrinted>2019-03-01T13:25:00Z</cp:lastPrinted>
  <dcterms:created xsi:type="dcterms:W3CDTF">2019-03-01T12:27:00Z</dcterms:created>
  <dcterms:modified xsi:type="dcterms:W3CDTF">2020-11-06T07:53:00Z</dcterms:modified>
</cp:coreProperties>
</file>