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40" w:rsidRDefault="004B4640" w:rsidP="004B4640">
      <w:pPr>
        <w:pStyle w:val="Teksttreci0"/>
        <w:spacing w:after="12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>WYKAZ</w:t>
      </w:r>
    </w:p>
    <w:p w:rsidR="004B4640" w:rsidRDefault="004B4640" w:rsidP="004B46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lokali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stanowiących własność Powiatu Mieleckiego przeznaczonych do oddania w najem na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podstawie art. 4 pkt. 9 w związku z art. 35 ust. 1 i ust. 2 Ustawy z dnia 21 sierpnia 1997 roku </w:t>
      </w:r>
      <w:r w:rsidR="00886C4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gospodarce nieruchomościami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(t. j. Dz. U. z 2023 r. poz. 344).</w:t>
      </w:r>
    </w:p>
    <w:p w:rsidR="004B4640" w:rsidRDefault="004B4640" w:rsidP="004B4640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W związku z uchwałą Nr 288/1836/2024 Zarządu Powiatu Mieleckiego z dnia 21 lutego 2024 r. przeznacza się do oddania w najem lokale znajdujące się w budynku Przychodni Zdrowia Nr 2 w Mielcu, przy ul. Skłodowskiej –</w:t>
      </w:r>
      <w:r>
        <w:rPr>
          <w:color w:val="000000" w:themeColor="text1"/>
          <w:sz w:val="24"/>
          <w:szCs w:val="24"/>
          <w:lang w:eastAsia="pl-PL" w:bidi="pl-PL"/>
        </w:rPr>
        <w:t xml:space="preserve"> Curie </w:t>
      </w:r>
      <w:r>
        <w:rPr>
          <w:color w:val="000000"/>
          <w:sz w:val="24"/>
          <w:szCs w:val="24"/>
          <w:lang w:eastAsia="pl-PL" w:bidi="pl-PL"/>
        </w:rPr>
        <w:t xml:space="preserve">10, na działce nr 1457/9, opisanej w księdze wieczystej TB1M/00014058/7, obręb Osiedle, stanowiącym własność Powiatu Mieleckiego, lokale na parterze budynku: </w:t>
      </w:r>
    </w:p>
    <w:p w:rsidR="004B4640" w:rsidRDefault="004B4640" w:rsidP="004B4640">
      <w:pPr>
        <w:pStyle w:val="Teksttreci0"/>
        <w:spacing w:after="0" w:line="276" w:lineRule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nr 1.16 (pow. 16,07 m</w:t>
      </w:r>
      <w:r>
        <w:rPr>
          <w:color w:val="000000"/>
          <w:sz w:val="24"/>
          <w:szCs w:val="24"/>
          <w:vertAlign w:val="superscript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>)</w:t>
      </w:r>
      <w:r>
        <w:rPr>
          <w:b/>
          <w:color w:val="000000"/>
          <w:sz w:val="24"/>
          <w:szCs w:val="24"/>
          <w:lang w:eastAsia="pl-PL" w:bidi="pl-PL"/>
        </w:rPr>
        <w:t xml:space="preserve">, </w:t>
      </w:r>
      <w:r>
        <w:rPr>
          <w:bCs/>
          <w:sz w:val="24"/>
          <w:szCs w:val="24"/>
        </w:rPr>
        <w:t>w 1/2 części pomieszczenia 1.17 ( korytarz - pow. 10,62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), w 1/2 części pomieszczenia 1.20 (WC - pow. 2,04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)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bCs/>
          <w:sz w:val="24"/>
          <w:szCs w:val="24"/>
        </w:rPr>
        <w:t>o powierzchni 28,73 m</w:t>
      </w:r>
      <w:r>
        <w:rPr>
          <w:bCs/>
          <w:sz w:val="24"/>
          <w:szCs w:val="24"/>
          <w:vertAlign w:val="superscript"/>
        </w:rPr>
        <w:t xml:space="preserve">2 </w:t>
      </w:r>
      <w:r>
        <w:rPr>
          <w:bCs/>
          <w:sz w:val="24"/>
          <w:szCs w:val="24"/>
        </w:rPr>
        <w:t>oraz części wspólne o powierzchni 1,26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, co daje łączną powierzchnie najmu </w:t>
      </w:r>
      <w:r>
        <w:rPr>
          <w:b/>
          <w:bCs/>
          <w:sz w:val="24"/>
          <w:szCs w:val="24"/>
        </w:rPr>
        <w:t>29,99 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  <w:vertAlign w:val="superscript"/>
        </w:rPr>
        <w:t xml:space="preserve"> </w:t>
      </w:r>
    </w:p>
    <w:p w:rsidR="004B4640" w:rsidRDefault="004B4640" w:rsidP="004B4640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>
        <w:rPr>
          <w:sz w:val="24"/>
          <w:szCs w:val="24"/>
          <w:lang w:eastAsia="pl-PL"/>
        </w:rPr>
        <w:t xml:space="preserve">z przeznaczeniem pod działalność z zakresu opieki zdrowotnej. </w:t>
      </w:r>
    </w:p>
    <w:p w:rsidR="004B4640" w:rsidRDefault="004B4640" w:rsidP="004B4640">
      <w:pPr>
        <w:pStyle w:val="Teksttreci0"/>
        <w:spacing w:after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Przeznacza się wynajem lokali na czas nieoznaczony.</w:t>
      </w:r>
    </w:p>
    <w:p w:rsidR="004B4640" w:rsidRDefault="004B4640" w:rsidP="004B4640">
      <w:pPr>
        <w:pStyle w:val="Teksttreci0"/>
        <w:spacing w:after="120" w:line="276" w:lineRule="auto"/>
        <w:jc w:val="both"/>
        <w:rPr>
          <w:b/>
          <w:color w:val="000000"/>
          <w:sz w:val="24"/>
          <w:szCs w:val="24"/>
          <w:lang w:eastAsia="pl-PL" w:bidi="pl-PL"/>
        </w:rPr>
      </w:pPr>
      <w:r>
        <w:rPr>
          <w:sz w:val="24"/>
          <w:szCs w:val="24"/>
          <w:lang w:eastAsia="pl-PL"/>
        </w:rPr>
        <w:t xml:space="preserve">Forma oddania w najem – przetarg pisemny nieograniczony. </w:t>
      </w:r>
    </w:p>
    <w:p w:rsidR="004B4640" w:rsidRDefault="004B4640" w:rsidP="004B4640">
      <w:pPr>
        <w:pStyle w:val="Teksttreci0"/>
        <w:spacing w:after="120" w:line="276" w:lineRule="auto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Ustala się minimalną stawkę czynszu najmu za 1 m2 powierzchni użytkowej pomieszczenia na kwotę 21,73 zł netto miesięcznie plus podatek VAT 23%. </w:t>
      </w:r>
      <w:r>
        <w:rPr>
          <w:sz w:val="24"/>
          <w:szCs w:val="24"/>
          <w:lang w:eastAsia="pl-PL"/>
        </w:rPr>
        <w:t>Poza stawką czynszu Najemca będzie ponosił dodatkowe opłaty z tytułu korzystania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mediów oraz związan</w:t>
      </w:r>
      <w:r>
        <w:rPr>
          <w:color w:val="000000" w:themeColor="text1"/>
          <w:sz w:val="24"/>
          <w:szCs w:val="24"/>
          <w:lang w:eastAsia="pl-PL"/>
        </w:rPr>
        <w:t>e</w:t>
      </w:r>
      <w:r>
        <w:rPr>
          <w:sz w:val="24"/>
          <w:szCs w:val="24"/>
          <w:lang w:eastAsia="pl-PL"/>
        </w:rPr>
        <w:t xml:space="preserve"> z administrowaniem budynkiem, zgodnie z zawartą umową najmu. </w:t>
      </w:r>
      <w:r>
        <w:rPr>
          <w:sz w:val="24"/>
          <w:szCs w:val="24"/>
          <w:lang w:eastAsia="pl-PL" w:bidi="pl-PL"/>
        </w:rPr>
        <w:t xml:space="preserve">Czynsz będzie podlegał waloryzacji jeden raz w roku w oparciu o wskaźnik wzrostu cen towarów i usług konsumpcyjnych, ogłaszany przez Główny Urząd Statystyczny, czynsz waloryzowany będzie począwszy od dnia 1.03.2025 r. </w:t>
      </w:r>
      <w:r>
        <w:rPr>
          <w:sz w:val="24"/>
          <w:szCs w:val="24"/>
          <w:lang w:eastAsia="pl-PL"/>
        </w:rPr>
        <w:t xml:space="preserve">Czynsz i opłaty płatne co miesiąc w terminie 30 dni licząc od </w:t>
      </w:r>
      <w:r>
        <w:rPr>
          <w:sz w:val="24"/>
          <w:szCs w:val="24"/>
        </w:rPr>
        <w:t>daty wystawienia faktury przez Wynajmującego.</w:t>
      </w:r>
    </w:p>
    <w:p w:rsidR="004B4640" w:rsidRDefault="004B4640" w:rsidP="004B4640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Wykaz został wywieszony na tablicy ogłoszeń, umieszczony na stronie internetowej Starostwa Powiatowego w Mielcu tj. 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 w:bidi="pl-PL"/>
          </w:rPr>
          <w:t>www.bip.powiat-mielecki.pl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oraz na tablicy ogłoszeń Urzędów Gmin Powiatu Mieleckiego, na okres 21 dni. Informację o zamieszczeniu tego wykazu podano do publicznej wiadomości przez ogłoszenie w prasie o zasięgu lokalnym.</w:t>
      </w:r>
    </w:p>
    <w:p w:rsidR="004B4640" w:rsidRDefault="004B4640" w:rsidP="004B4640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4B4640" w:rsidRDefault="004B4640" w:rsidP="004B464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 wywieszenia wykazu: …………………………..</w:t>
      </w:r>
    </w:p>
    <w:p w:rsidR="004B4640" w:rsidRDefault="004B4640" w:rsidP="004B464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B4640" w:rsidRDefault="004B4640" w:rsidP="004B464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 zdjęcia wykazu: ………………………………...</w:t>
      </w:r>
    </w:p>
    <w:p w:rsidR="00575E6B" w:rsidRDefault="00575E6B"/>
    <w:sectPr w:rsidR="00575E6B" w:rsidSect="004B46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40"/>
    <w:rsid w:val="004B4640"/>
    <w:rsid w:val="00575E6B"/>
    <w:rsid w:val="0088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FFD09-4C49-4FED-8880-20ACDDA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4640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4B464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B4640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EWELINA.KORZEN</dc:creator>
  <cp:keywords/>
  <dc:description/>
  <cp:lastModifiedBy>EWELINA.KORZEN</cp:lastModifiedBy>
  <cp:revision>3</cp:revision>
  <cp:lastPrinted>2024-02-21T08:22:00Z</cp:lastPrinted>
  <dcterms:created xsi:type="dcterms:W3CDTF">2024-02-21T08:17:00Z</dcterms:created>
  <dcterms:modified xsi:type="dcterms:W3CDTF">2024-02-21T08:22:00Z</dcterms:modified>
</cp:coreProperties>
</file>